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910"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124"/>
        <w:gridCol w:w="3344"/>
        <w:gridCol w:w="5442"/>
      </w:tblGrid>
      <w:tr w:rsidR="001F791A" w14:paraId="014F58C7" w14:textId="77777777" w:rsidTr="00297618">
        <w:tc>
          <w:tcPr>
            <w:tcW w:w="2124" w:type="dxa"/>
          </w:tcPr>
          <w:p w14:paraId="6C182674" w14:textId="6EF1BCB1" w:rsidR="004B2A7D" w:rsidRPr="00217CFE" w:rsidRDefault="004B2A7D" w:rsidP="006C4449">
            <w:pPr>
              <w:pStyle w:val="KeinLeerraum"/>
              <w:rPr>
                <w:b/>
                <w:bCs/>
                <w:sz w:val="20"/>
                <w:szCs w:val="20"/>
              </w:rPr>
            </w:pPr>
            <w:r w:rsidRPr="00104AA1">
              <w:rPr>
                <w:b/>
                <w:bCs/>
              </w:rPr>
              <w:t>Project Title</w:t>
            </w:r>
          </w:p>
        </w:tc>
        <w:tc>
          <w:tcPr>
            <w:tcW w:w="8786" w:type="dxa"/>
            <w:gridSpan w:val="2"/>
          </w:tcPr>
          <w:p w14:paraId="758819B6" w14:textId="0819B9B4" w:rsidR="004B2A7D" w:rsidRPr="00302887" w:rsidRDefault="006632E5" w:rsidP="00F120E0">
            <w:pPr>
              <w:pStyle w:val="KeinLeerraum"/>
              <w:rPr>
                <w:b/>
                <w:bCs/>
              </w:rPr>
            </w:pPr>
            <w:r>
              <w:rPr>
                <w:rFonts w:ascii="Calibri" w:hAnsi="Calibri" w:cs="Calibri"/>
                <w:b/>
                <w:bCs/>
                <w:color w:val="000000"/>
              </w:rPr>
              <w:t>3MF</w:t>
            </w:r>
            <w:r>
              <w:rPr>
                <w:rFonts w:ascii="Calibri" w:hAnsi="Calibri" w:cs="Calibri"/>
                <w:color w:val="000000"/>
              </w:rPr>
              <w:t xml:space="preserve"> = </w:t>
            </w:r>
            <w:r>
              <w:rPr>
                <w:rFonts w:ascii="Calibri" w:hAnsi="Calibri" w:cs="Calibri"/>
                <w:b/>
                <w:bCs/>
                <w:color w:val="000000"/>
              </w:rPr>
              <w:t>M</w:t>
            </w:r>
            <w:r>
              <w:rPr>
                <w:rFonts w:ascii="Calibri" w:hAnsi="Calibri" w:cs="Calibri"/>
                <w:color w:val="000000"/>
              </w:rPr>
              <w:t xml:space="preserve">elt </w:t>
            </w:r>
            <w:r>
              <w:rPr>
                <w:rFonts w:ascii="Calibri" w:hAnsi="Calibri" w:cs="Calibri"/>
                <w:b/>
                <w:bCs/>
                <w:color w:val="000000"/>
              </w:rPr>
              <w:t>M</w:t>
            </w:r>
            <w:r>
              <w:rPr>
                <w:rFonts w:ascii="Calibri" w:hAnsi="Calibri" w:cs="Calibri"/>
                <w:color w:val="000000"/>
              </w:rPr>
              <w:t xml:space="preserve">otion for </w:t>
            </w:r>
            <w:r>
              <w:rPr>
                <w:rFonts w:ascii="Calibri" w:hAnsi="Calibri" w:cs="Calibri"/>
                <w:b/>
                <w:bCs/>
                <w:color w:val="000000"/>
              </w:rPr>
              <w:t>M</w:t>
            </w:r>
            <w:r>
              <w:rPr>
                <w:rFonts w:ascii="Calibri" w:hAnsi="Calibri" w:cs="Calibri"/>
                <w:color w:val="000000"/>
              </w:rPr>
              <w:t xml:space="preserve">agnetic </w:t>
            </w:r>
            <w:r>
              <w:rPr>
                <w:rFonts w:ascii="Calibri" w:hAnsi="Calibri" w:cs="Calibri"/>
                <w:b/>
                <w:bCs/>
                <w:color w:val="000000"/>
              </w:rPr>
              <w:t>F</w:t>
            </w:r>
            <w:r>
              <w:rPr>
                <w:rFonts w:ascii="Calibri" w:hAnsi="Calibri" w:cs="Calibri"/>
                <w:color w:val="000000"/>
              </w:rPr>
              <w:t xml:space="preserve">usion </w:t>
            </w:r>
            <w:r w:rsidR="006B3F60">
              <w:rPr>
                <w:b/>
                <w:bCs/>
              </w:rPr>
              <w:t xml:space="preserve"> a new code </w:t>
            </w:r>
            <w:r w:rsidR="007F133C">
              <w:rPr>
                <w:b/>
                <w:bCs/>
              </w:rPr>
              <w:t xml:space="preserve">to simulate reactor-relevant melting </w:t>
            </w:r>
            <w:r w:rsidR="006B3F60">
              <w:rPr>
                <w:b/>
                <w:bCs/>
              </w:rPr>
              <w:t>in all geometries</w:t>
            </w:r>
          </w:p>
        </w:tc>
      </w:tr>
      <w:tr w:rsidR="001F791A" w:rsidRPr="00302887" w14:paraId="4637D622" w14:textId="77777777" w:rsidTr="00297618">
        <w:tc>
          <w:tcPr>
            <w:tcW w:w="2124" w:type="dxa"/>
          </w:tcPr>
          <w:p w14:paraId="2260D7D9" w14:textId="0FC1C9D5" w:rsidR="004B2A7D" w:rsidRPr="00297618" w:rsidRDefault="004B2A7D" w:rsidP="006C4449">
            <w:pPr>
              <w:pStyle w:val="KeinLeerraum"/>
              <w:rPr>
                <w:b/>
                <w:bCs/>
                <w:sz w:val="18"/>
                <w:szCs w:val="18"/>
              </w:rPr>
            </w:pPr>
            <w:r w:rsidRPr="00297618">
              <w:rPr>
                <w:b/>
                <w:bCs/>
              </w:rPr>
              <w:t xml:space="preserve">EUROfusion </w:t>
            </w:r>
            <w:r w:rsidR="00297618" w:rsidRPr="00297618">
              <w:rPr>
                <w:b/>
                <w:bCs/>
              </w:rPr>
              <w:t>RO</w:t>
            </w:r>
          </w:p>
          <w:p w14:paraId="061B52D6" w14:textId="4F919EC3" w:rsidR="004B2A7D" w:rsidRPr="00217CFE" w:rsidRDefault="004B2A7D" w:rsidP="006C4449">
            <w:pPr>
              <w:pStyle w:val="KeinLeerraum"/>
              <w:rPr>
                <w:sz w:val="20"/>
                <w:szCs w:val="20"/>
              </w:rPr>
            </w:pPr>
          </w:p>
        </w:tc>
        <w:tc>
          <w:tcPr>
            <w:tcW w:w="8786" w:type="dxa"/>
            <w:gridSpan w:val="2"/>
          </w:tcPr>
          <w:p w14:paraId="643A9225" w14:textId="77777777" w:rsidR="004B2A7D" w:rsidRPr="00302887" w:rsidRDefault="00302887" w:rsidP="006C4449">
            <w:pPr>
              <w:pStyle w:val="KeinLeerraum"/>
              <w:rPr>
                <w:sz w:val="20"/>
                <w:szCs w:val="20"/>
                <w:lang w:val="de-DE"/>
              </w:rPr>
            </w:pPr>
            <w:r w:rsidRPr="00302887">
              <w:rPr>
                <w:sz w:val="20"/>
                <w:szCs w:val="20"/>
              </w:rPr>
              <w:t xml:space="preserve">WPPWIE </w:t>
            </w:r>
            <w:r w:rsidRPr="00302887">
              <w:rPr>
                <w:sz w:val="20"/>
                <w:szCs w:val="20"/>
                <w:lang w:val="de-DE"/>
              </w:rPr>
              <w:t>PL S. Brezinsek</w:t>
            </w:r>
          </w:p>
          <w:p w14:paraId="61459A28" w14:textId="1FA40705" w:rsidR="00915DEC" w:rsidRPr="00302887" w:rsidRDefault="00302887" w:rsidP="006C4449">
            <w:pPr>
              <w:pStyle w:val="KeinLeerraum"/>
              <w:rPr>
                <w:sz w:val="20"/>
                <w:szCs w:val="20"/>
                <w:lang w:val="de-DE"/>
              </w:rPr>
            </w:pPr>
            <w:r w:rsidRPr="00302887">
              <w:rPr>
                <w:sz w:val="20"/>
                <w:szCs w:val="20"/>
                <w:lang w:val="de-DE"/>
              </w:rPr>
              <w:t>WP</w:t>
            </w:r>
            <w:r>
              <w:rPr>
                <w:sz w:val="20"/>
                <w:szCs w:val="20"/>
                <w:lang w:val="de-DE"/>
              </w:rPr>
              <w:t>TE</w:t>
            </w:r>
            <w:r w:rsidR="00BB30C8">
              <w:rPr>
                <w:sz w:val="20"/>
                <w:szCs w:val="20"/>
                <w:lang w:val="de-DE"/>
              </w:rPr>
              <w:t xml:space="preserve"> </w:t>
            </w:r>
            <w:proofErr w:type="spellStart"/>
            <w:r w:rsidR="00BB30C8">
              <w:rPr>
                <w:sz w:val="20"/>
                <w:szCs w:val="20"/>
                <w:lang w:val="de-DE"/>
              </w:rPr>
              <w:t>and</w:t>
            </w:r>
            <w:proofErr w:type="spellEnd"/>
            <w:r w:rsidR="00BB30C8">
              <w:rPr>
                <w:sz w:val="20"/>
                <w:szCs w:val="20"/>
                <w:lang w:val="de-DE"/>
              </w:rPr>
              <w:t xml:space="preserve"> </w:t>
            </w:r>
            <w:r w:rsidR="00915DEC">
              <w:rPr>
                <w:sz w:val="20"/>
                <w:szCs w:val="20"/>
                <w:lang w:val="de-DE"/>
              </w:rPr>
              <w:t>WPDES</w:t>
            </w:r>
          </w:p>
        </w:tc>
      </w:tr>
      <w:tr w:rsidR="001F791A" w14:paraId="2B50F9D4" w14:textId="77777777" w:rsidTr="00297618">
        <w:tc>
          <w:tcPr>
            <w:tcW w:w="2124" w:type="dxa"/>
          </w:tcPr>
          <w:p w14:paraId="4983001A" w14:textId="77777777" w:rsidR="006C4449" w:rsidRPr="00104AA1" w:rsidRDefault="006C4449" w:rsidP="006C4449">
            <w:pPr>
              <w:pStyle w:val="KeinLeerraum"/>
              <w:rPr>
                <w:b/>
                <w:bCs/>
              </w:rPr>
            </w:pPr>
            <w:r w:rsidRPr="00104AA1">
              <w:rPr>
                <w:b/>
                <w:bCs/>
              </w:rPr>
              <w:t>Background</w:t>
            </w:r>
          </w:p>
          <w:p w14:paraId="39ABEF0D" w14:textId="77777777" w:rsidR="006E7E2D" w:rsidRPr="00217CFE" w:rsidRDefault="006E7E2D" w:rsidP="006C4449">
            <w:pPr>
              <w:pStyle w:val="KeinLeerraum"/>
              <w:rPr>
                <w:sz w:val="20"/>
                <w:szCs w:val="20"/>
              </w:rPr>
            </w:pPr>
          </w:p>
          <w:p w14:paraId="029712AC" w14:textId="474EEB76" w:rsidR="006E7E2D" w:rsidRPr="00217CFE" w:rsidRDefault="006E7E2D" w:rsidP="006C4449">
            <w:pPr>
              <w:pStyle w:val="KeinLeerraum"/>
              <w:rPr>
                <w:sz w:val="20"/>
                <w:szCs w:val="20"/>
              </w:rPr>
            </w:pPr>
          </w:p>
        </w:tc>
        <w:tc>
          <w:tcPr>
            <w:tcW w:w="8786" w:type="dxa"/>
            <w:gridSpan w:val="2"/>
          </w:tcPr>
          <w:p w14:paraId="78B3F87E" w14:textId="1CA55186" w:rsidR="0060635F" w:rsidRPr="004C0B20" w:rsidRDefault="0003795F" w:rsidP="00165B62">
            <w:pPr>
              <w:pStyle w:val="KeinLeerraum"/>
              <w:jc w:val="both"/>
              <w:rPr>
                <w:sz w:val="20"/>
                <w:szCs w:val="20"/>
              </w:rPr>
            </w:pPr>
            <w:r>
              <w:rPr>
                <w:sz w:val="20"/>
                <w:szCs w:val="20"/>
              </w:rPr>
              <w:t>T</w:t>
            </w:r>
            <w:r w:rsidRPr="00C86AA2">
              <w:rPr>
                <w:sz w:val="20"/>
                <w:szCs w:val="20"/>
              </w:rPr>
              <w:t xml:space="preserve">he </w:t>
            </w:r>
            <w:hyperlink r:id="rId11" w:anchor=":~:text=The%20MEMOS%2DU%20code%20has,shallow%20melting%20and%20surface%20deformation." w:history="1">
              <w:r w:rsidR="00D135FC">
                <w:rPr>
                  <w:rStyle w:val="Hyperlink"/>
                  <w:color w:val="auto"/>
                  <w:sz w:val="20"/>
                  <w:szCs w:val="20"/>
                  <w:u w:val="none"/>
                </w:rPr>
                <w:t>MEMOS-</w:t>
              </w:r>
              <w:r w:rsidRPr="00C86AA2">
                <w:rPr>
                  <w:rStyle w:val="Hyperlink"/>
                  <w:color w:val="auto"/>
                  <w:sz w:val="20"/>
                  <w:szCs w:val="20"/>
                  <w:u w:val="none"/>
                </w:rPr>
                <w:t>U code</w:t>
              </w:r>
            </w:hyperlink>
            <w:r w:rsidRPr="00C86AA2">
              <w:rPr>
                <w:sz w:val="20"/>
                <w:szCs w:val="20"/>
              </w:rPr>
              <w:t xml:space="preserve"> is the only </w:t>
            </w:r>
            <w:r w:rsidR="00452FE1" w:rsidRPr="00C86AA2">
              <w:rPr>
                <w:sz w:val="20"/>
                <w:szCs w:val="20"/>
              </w:rPr>
              <w:t>European</w:t>
            </w:r>
            <w:r w:rsidR="004C0B20" w:rsidRPr="00C86AA2">
              <w:rPr>
                <w:sz w:val="20"/>
                <w:szCs w:val="20"/>
              </w:rPr>
              <w:t xml:space="preserve"> code </w:t>
            </w:r>
            <w:r w:rsidR="007867A5" w:rsidRPr="00C86AA2">
              <w:rPr>
                <w:sz w:val="20"/>
                <w:szCs w:val="20"/>
              </w:rPr>
              <w:t xml:space="preserve">that is </w:t>
            </w:r>
            <w:r w:rsidR="004C0B20" w:rsidRPr="00C86AA2">
              <w:rPr>
                <w:sz w:val="20"/>
                <w:szCs w:val="20"/>
              </w:rPr>
              <w:t xml:space="preserve">capable of simulating </w:t>
            </w:r>
            <w:r w:rsidRPr="00C86AA2">
              <w:rPr>
                <w:sz w:val="20"/>
                <w:szCs w:val="20"/>
              </w:rPr>
              <w:t xml:space="preserve">the motion of induced metallic melts coupled with the </w:t>
            </w:r>
            <w:r w:rsidR="007867A5" w:rsidRPr="00C86AA2">
              <w:rPr>
                <w:sz w:val="20"/>
                <w:szCs w:val="20"/>
              </w:rPr>
              <w:t>thermoelectric</w:t>
            </w:r>
            <w:r w:rsidR="004C0B20" w:rsidRPr="00C86AA2">
              <w:rPr>
                <w:sz w:val="20"/>
                <w:szCs w:val="20"/>
              </w:rPr>
              <w:t xml:space="preserve"> response of large</w:t>
            </w:r>
            <w:r w:rsidR="00A72F91" w:rsidRPr="00C86AA2">
              <w:rPr>
                <w:sz w:val="20"/>
                <w:szCs w:val="20"/>
              </w:rPr>
              <w:t>-area</w:t>
            </w:r>
            <w:r w:rsidRPr="00C86AA2">
              <w:rPr>
                <w:sz w:val="20"/>
                <w:szCs w:val="20"/>
              </w:rPr>
              <w:t xml:space="preserve"> wetted</w:t>
            </w:r>
            <w:r w:rsidR="004C0B20" w:rsidRPr="00C86AA2">
              <w:rPr>
                <w:sz w:val="20"/>
                <w:szCs w:val="20"/>
              </w:rPr>
              <w:t xml:space="preserve"> PFCs</w:t>
            </w:r>
            <w:r w:rsidRPr="00C86AA2">
              <w:rPr>
                <w:sz w:val="20"/>
                <w:szCs w:val="20"/>
              </w:rPr>
              <w:t>,</w:t>
            </w:r>
            <w:r w:rsidR="004C0B20" w:rsidRPr="00C86AA2">
              <w:rPr>
                <w:sz w:val="20"/>
                <w:szCs w:val="20"/>
              </w:rPr>
              <w:t xml:space="preserve"> </w:t>
            </w:r>
            <w:r w:rsidR="00A72F91" w:rsidRPr="00C86AA2">
              <w:rPr>
                <w:sz w:val="20"/>
                <w:szCs w:val="20"/>
              </w:rPr>
              <w:t xml:space="preserve">thus providing </w:t>
            </w:r>
            <w:hyperlink r:id="rId12" w:history="1">
              <w:r w:rsidR="00A72F91" w:rsidRPr="00C86AA2">
                <w:rPr>
                  <w:rStyle w:val="Hyperlink"/>
                  <w:color w:val="auto"/>
                  <w:sz w:val="20"/>
                  <w:szCs w:val="20"/>
                  <w:u w:val="none"/>
                </w:rPr>
                <w:t>realistic surface deformation profiles</w:t>
              </w:r>
            </w:hyperlink>
            <w:r w:rsidR="00A72F91" w:rsidRPr="00C86AA2">
              <w:rPr>
                <w:sz w:val="20"/>
                <w:szCs w:val="20"/>
              </w:rPr>
              <w:t xml:space="preserve">. </w:t>
            </w:r>
            <w:proofErr w:type="gramStart"/>
            <w:r w:rsidR="004C0B20" w:rsidRPr="00C86AA2">
              <w:rPr>
                <w:sz w:val="20"/>
                <w:szCs w:val="20"/>
              </w:rPr>
              <w:t xml:space="preserve">The </w:t>
            </w:r>
            <w:r w:rsidR="007867A5" w:rsidRPr="00C86AA2">
              <w:rPr>
                <w:sz w:val="20"/>
                <w:szCs w:val="20"/>
              </w:rPr>
              <w:t xml:space="preserve">MEMOS-U </w:t>
            </w:r>
            <w:r w:rsidR="004C0B20" w:rsidRPr="00C86AA2">
              <w:rPr>
                <w:sz w:val="20"/>
                <w:szCs w:val="20"/>
              </w:rPr>
              <w:t xml:space="preserve">model predictive capability </w:t>
            </w:r>
            <w:r w:rsidR="00A72F91" w:rsidRPr="00C86AA2">
              <w:rPr>
                <w:sz w:val="20"/>
                <w:szCs w:val="20"/>
              </w:rPr>
              <w:t>was</w:t>
            </w:r>
            <w:r w:rsidR="004C0B20" w:rsidRPr="00C86AA2">
              <w:rPr>
                <w:sz w:val="20"/>
                <w:szCs w:val="20"/>
              </w:rPr>
              <w:t xml:space="preserve"> successfully tested in </w:t>
            </w:r>
            <w:hyperlink r:id="rId13" w:history="1">
              <w:r w:rsidR="004C0B20" w:rsidRPr="00C86AA2">
                <w:rPr>
                  <w:rStyle w:val="Hyperlink"/>
                  <w:color w:val="auto"/>
                  <w:sz w:val="20"/>
                  <w:szCs w:val="20"/>
                  <w:u w:val="none"/>
                </w:rPr>
                <w:t xml:space="preserve">multiple </w:t>
              </w:r>
              <w:r w:rsidR="00A72F91" w:rsidRPr="00C86AA2">
                <w:rPr>
                  <w:rStyle w:val="Hyperlink"/>
                  <w:color w:val="auto"/>
                  <w:sz w:val="20"/>
                  <w:szCs w:val="20"/>
                  <w:u w:val="none"/>
                </w:rPr>
                <w:t xml:space="preserve">dedicated </w:t>
              </w:r>
              <w:r w:rsidR="004C0B20" w:rsidRPr="00C86AA2">
                <w:rPr>
                  <w:rStyle w:val="Hyperlink"/>
                  <w:color w:val="auto"/>
                  <w:sz w:val="20"/>
                  <w:szCs w:val="20"/>
                  <w:u w:val="none"/>
                </w:rPr>
                <w:t>EUROfusion experiments</w:t>
              </w:r>
            </w:hyperlink>
            <w:r w:rsidR="004C0B20" w:rsidRPr="00C86AA2">
              <w:rPr>
                <w:sz w:val="20"/>
                <w:szCs w:val="20"/>
              </w:rPr>
              <w:t xml:space="preserve"> featuring </w:t>
            </w:r>
            <w:r w:rsidRPr="00C86AA2">
              <w:rPr>
                <w:sz w:val="20"/>
                <w:szCs w:val="20"/>
              </w:rPr>
              <w:t>melting under ELM, disruption</w:t>
            </w:r>
            <w:r w:rsidR="007867A5" w:rsidRPr="00C86AA2">
              <w:rPr>
                <w:sz w:val="20"/>
                <w:szCs w:val="20"/>
              </w:rPr>
              <w:t xml:space="preserve"> and steady </w:t>
            </w:r>
            <w:r w:rsidR="004C0B20" w:rsidRPr="00C86AA2">
              <w:rPr>
                <w:sz w:val="20"/>
                <w:szCs w:val="20"/>
              </w:rPr>
              <w:t xml:space="preserve">state </w:t>
            </w:r>
            <w:r w:rsidRPr="00C86AA2">
              <w:rPr>
                <w:sz w:val="20"/>
                <w:szCs w:val="20"/>
              </w:rPr>
              <w:t xml:space="preserve">heat </w:t>
            </w:r>
            <w:r w:rsidR="00A72F91" w:rsidRPr="00C86AA2">
              <w:rPr>
                <w:sz w:val="20"/>
                <w:szCs w:val="20"/>
              </w:rPr>
              <w:t xml:space="preserve">loads </w:t>
            </w:r>
            <w:r w:rsidR="004C0B20" w:rsidRPr="00C86AA2">
              <w:rPr>
                <w:sz w:val="20"/>
                <w:szCs w:val="20"/>
              </w:rPr>
              <w:t xml:space="preserve">as well as different </w:t>
            </w:r>
            <w:r w:rsidR="007867A5" w:rsidRPr="00C86AA2">
              <w:rPr>
                <w:sz w:val="20"/>
                <w:szCs w:val="20"/>
              </w:rPr>
              <w:t>material compositions</w:t>
            </w:r>
            <w:r w:rsidR="00A72F91" w:rsidRPr="00C86AA2">
              <w:rPr>
                <w:sz w:val="20"/>
                <w:szCs w:val="20"/>
              </w:rPr>
              <w:t xml:space="preserve"> and </w:t>
            </w:r>
            <w:r w:rsidR="007867A5" w:rsidRPr="00C86AA2">
              <w:rPr>
                <w:sz w:val="20"/>
                <w:szCs w:val="20"/>
              </w:rPr>
              <w:t xml:space="preserve">exposure </w:t>
            </w:r>
            <w:r w:rsidR="00452FE1" w:rsidRPr="00C86AA2">
              <w:rPr>
                <w:sz w:val="20"/>
                <w:szCs w:val="20"/>
              </w:rPr>
              <w:t>geometries</w:t>
            </w:r>
            <w:r w:rsidR="00A72F91" w:rsidRPr="00C86AA2">
              <w:rPr>
                <w:sz w:val="20"/>
                <w:szCs w:val="20"/>
              </w:rPr>
              <w:t>, both</w:t>
            </w:r>
            <w:r w:rsidRPr="00C86AA2">
              <w:rPr>
                <w:sz w:val="20"/>
                <w:szCs w:val="20"/>
              </w:rPr>
              <w:t xml:space="preserve"> passive</w:t>
            </w:r>
            <w:r w:rsidR="00A72F91" w:rsidRPr="00C86AA2">
              <w:rPr>
                <w:sz w:val="20"/>
                <w:szCs w:val="20"/>
              </w:rPr>
              <w:t xml:space="preserve"> and active cooling</w:t>
            </w:r>
            <w:r w:rsidR="007867A5" w:rsidRPr="00C86AA2">
              <w:rPr>
                <w:sz w:val="20"/>
                <w:szCs w:val="20"/>
              </w:rPr>
              <w:t>,</w:t>
            </w:r>
            <w:r w:rsidR="00A72F91" w:rsidRPr="00C86AA2">
              <w:rPr>
                <w:sz w:val="20"/>
                <w:szCs w:val="20"/>
              </w:rPr>
              <w:t xml:space="preserve"> both grounded and electrically insu</w:t>
            </w:r>
            <w:r w:rsidRPr="00C86AA2">
              <w:rPr>
                <w:sz w:val="20"/>
                <w:szCs w:val="20"/>
              </w:rPr>
              <w:t xml:space="preserve">lated </w:t>
            </w:r>
            <w:r w:rsidR="00FF690C" w:rsidRPr="00C86AA2">
              <w:rPr>
                <w:sz w:val="20"/>
                <w:szCs w:val="20"/>
              </w:rPr>
              <w:t xml:space="preserve">PFCs. MEMOS-U is part of WPPWIE, </w:t>
            </w:r>
            <w:r w:rsidRPr="00C86AA2">
              <w:rPr>
                <w:sz w:val="20"/>
                <w:szCs w:val="20"/>
              </w:rPr>
              <w:t>WP</w:t>
            </w:r>
            <w:r w:rsidR="00452FE1" w:rsidRPr="00C86AA2">
              <w:rPr>
                <w:sz w:val="20"/>
                <w:szCs w:val="20"/>
              </w:rPr>
              <w:t>DES, WPTE and is the exclusive</w:t>
            </w:r>
            <w:r w:rsidR="00A72F91" w:rsidRPr="00C86AA2">
              <w:rPr>
                <w:sz w:val="20"/>
                <w:szCs w:val="20"/>
              </w:rPr>
              <w:t xml:space="preserve"> tool for </w:t>
            </w:r>
            <w:hyperlink r:id="rId14" w:history="1">
              <w:r w:rsidR="00A72F91" w:rsidRPr="00C86AA2">
                <w:rPr>
                  <w:rStyle w:val="Hyperlink"/>
                  <w:color w:val="auto"/>
                  <w:sz w:val="20"/>
                  <w:szCs w:val="20"/>
                  <w:u w:val="none"/>
                </w:rPr>
                <w:t xml:space="preserve">ITER </w:t>
              </w:r>
              <w:r w:rsidRPr="00C86AA2">
                <w:rPr>
                  <w:rStyle w:val="Hyperlink"/>
                  <w:color w:val="auto"/>
                  <w:sz w:val="20"/>
                  <w:szCs w:val="20"/>
                  <w:u w:val="none"/>
                </w:rPr>
                <w:t xml:space="preserve">melt budget </w:t>
              </w:r>
              <w:r w:rsidR="00A72F91" w:rsidRPr="00C86AA2">
                <w:rPr>
                  <w:rStyle w:val="Hyperlink"/>
                  <w:color w:val="auto"/>
                  <w:sz w:val="20"/>
                  <w:szCs w:val="20"/>
                  <w:u w:val="none"/>
                </w:rPr>
                <w:t>predictions</w:t>
              </w:r>
            </w:hyperlink>
            <w:r w:rsidR="00FF690C" w:rsidRPr="00C86AA2">
              <w:rPr>
                <w:sz w:val="20"/>
                <w:szCs w:val="20"/>
              </w:rPr>
              <w:t xml:space="preserve">, MEMOS-U </w:t>
            </w:r>
            <w:r w:rsidR="00165B62" w:rsidRPr="00C86AA2">
              <w:rPr>
                <w:sz w:val="20"/>
                <w:szCs w:val="20"/>
              </w:rPr>
              <w:t>is foreseen in TSVV-7</w:t>
            </w:r>
            <w:r w:rsidR="00FF690C" w:rsidRPr="00C86AA2">
              <w:rPr>
                <w:sz w:val="20"/>
                <w:szCs w:val="20"/>
              </w:rPr>
              <w:t>, but no further development to optimise the code for fast and advanced applications.</w:t>
            </w:r>
            <w:r w:rsidR="00165B62" w:rsidRPr="00C86AA2">
              <w:rPr>
                <w:sz w:val="20"/>
                <w:szCs w:val="20"/>
              </w:rPr>
              <w:t>is within the framework possible.</w:t>
            </w:r>
            <w:proofErr w:type="gramEnd"/>
            <w:r w:rsidR="00165B62" w:rsidRPr="00C86AA2">
              <w:rPr>
                <w:sz w:val="20"/>
                <w:szCs w:val="20"/>
              </w:rPr>
              <w:t xml:space="preserve"> </w:t>
            </w:r>
          </w:p>
        </w:tc>
      </w:tr>
      <w:tr w:rsidR="001F791A" w14:paraId="6AF3C982" w14:textId="77777777" w:rsidTr="00297618">
        <w:tc>
          <w:tcPr>
            <w:tcW w:w="2124" w:type="dxa"/>
          </w:tcPr>
          <w:p w14:paraId="01FA7605" w14:textId="77777777" w:rsidR="00CF1FFE" w:rsidRPr="00104AA1" w:rsidRDefault="00CF1FFE" w:rsidP="00CF1FFE">
            <w:pPr>
              <w:pStyle w:val="KeinLeerraum"/>
              <w:rPr>
                <w:b/>
                <w:bCs/>
              </w:rPr>
            </w:pPr>
            <w:r w:rsidRPr="00104AA1">
              <w:rPr>
                <w:b/>
                <w:bCs/>
              </w:rPr>
              <w:t xml:space="preserve">Objectives </w:t>
            </w:r>
          </w:p>
          <w:p w14:paraId="5C8D14C1" w14:textId="72AE03D6" w:rsidR="00CF1FFE" w:rsidRPr="00217CFE" w:rsidRDefault="00CF1FFE" w:rsidP="00CF1FFE">
            <w:pPr>
              <w:pStyle w:val="KeinLeerraum"/>
              <w:rPr>
                <w:i/>
                <w:iCs/>
                <w:sz w:val="20"/>
                <w:szCs w:val="20"/>
              </w:rPr>
            </w:pPr>
          </w:p>
        </w:tc>
        <w:tc>
          <w:tcPr>
            <w:tcW w:w="8786" w:type="dxa"/>
            <w:gridSpan w:val="2"/>
          </w:tcPr>
          <w:p w14:paraId="39CE7F9F" w14:textId="21E9227B" w:rsidR="00CF1FFE" w:rsidRPr="004E6F5A" w:rsidRDefault="000E6E49" w:rsidP="00446E4F">
            <w:pPr>
              <w:pStyle w:val="KeinLeerraum"/>
              <w:jc w:val="both"/>
              <w:rPr>
                <w:color w:val="000000" w:themeColor="text1"/>
                <w:sz w:val="20"/>
                <w:szCs w:val="20"/>
              </w:rPr>
            </w:pPr>
            <w:r>
              <w:rPr>
                <w:color w:val="000000" w:themeColor="text1"/>
                <w:sz w:val="20"/>
                <w:szCs w:val="20"/>
              </w:rPr>
              <w:t>Implement</w:t>
            </w:r>
            <w:r w:rsidR="004E6F5A" w:rsidRPr="004E6F5A">
              <w:rPr>
                <w:color w:val="000000" w:themeColor="text1"/>
                <w:sz w:val="20"/>
                <w:szCs w:val="20"/>
              </w:rPr>
              <w:t xml:space="preserve"> the validated</w:t>
            </w:r>
            <w:r w:rsidR="000E1D22">
              <w:rPr>
                <w:color w:val="000000" w:themeColor="text1"/>
                <w:sz w:val="20"/>
                <w:szCs w:val="20"/>
              </w:rPr>
              <w:t xml:space="preserve"> MEMOS-U physics model in the</w:t>
            </w:r>
            <w:r>
              <w:rPr>
                <w:color w:val="000000" w:themeColor="text1"/>
                <w:sz w:val="20"/>
                <w:szCs w:val="20"/>
              </w:rPr>
              <w:t xml:space="preserve"> new code</w:t>
            </w:r>
            <w:r w:rsidR="00F120E0">
              <w:rPr>
                <w:color w:val="000000" w:themeColor="text1"/>
                <w:sz w:val="20"/>
                <w:szCs w:val="20"/>
              </w:rPr>
              <w:t xml:space="preserve"> </w:t>
            </w:r>
            <w:r w:rsidR="00F120E0" w:rsidRPr="00F120E0">
              <w:rPr>
                <w:b/>
                <w:color w:val="000000" w:themeColor="text1"/>
                <w:sz w:val="20"/>
                <w:szCs w:val="20"/>
              </w:rPr>
              <w:t>3MF</w:t>
            </w:r>
            <w:r>
              <w:rPr>
                <w:color w:val="000000" w:themeColor="text1"/>
                <w:sz w:val="20"/>
                <w:szCs w:val="20"/>
              </w:rPr>
              <w:t>,</w:t>
            </w:r>
            <w:r w:rsidR="004E6F5A" w:rsidRPr="004E6F5A">
              <w:rPr>
                <w:color w:val="000000" w:themeColor="text1"/>
                <w:sz w:val="20"/>
                <w:szCs w:val="20"/>
              </w:rPr>
              <w:t xml:space="preserve"> utilizing modern programming repertoire and frameworks with clean and adequate overall  architecture in order to</w:t>
            </w:r>
            <w:r w:rsidR="004E6F5A">
              <w:rPr>
                <w:color w:val="000000" w:themeColor="text1"/>
                <w:sz w:val="20"/>
                <w:szCs w:val="20"/>
              </w:rPr>
              <w:t xml:space="preserve"> allow</w:t>
            </w:r>
            <w:r w:rsidR="00446E4F">
              <w:rPr>
                <w:color w:val="000000" w:themeColor="text1"/>
                <w:sz w:val="20"/>
                <w:szCs w:val="20"/>
              </w:rPr>
              <w:t xml:space="preserve"> for</w:t>
            </w:r>
            <w:r w:rsidR="004E6F5A" w:rsidRPr="004E6F5A">
              <w:rPr>
                <w:color w:val="000000" w:themeColor="text1"/>
                <w:sz w:val="20"/>
                <w:szCs w:val="20"/>
              </w:rPr>
              <w:t>:</w:t>
            </w:r>
          </w:p>
          <w:p w14:paraId="2854B6C6" w14:textId="38D35C6B" w:rsidR="004E6F5A" w:rsidRDefault="004E6F5A" w:rsidP="00446E4F">
            <w:pPr>
              <w:pStyle w:val="KeinLeerraum"/>
              <w:numPr>
                <w:ilvl w:val="0"/>
                <w:numId w:val="2"/>
              </w:numPr>
              <w:jc w:val="both"/>
              <w:rPr>
                <w:color w:val="000000" w:themeColor="text1"/>
                <w:sz w:val="20"/>
                <w:szCs w:val="20"/>
              </w:rPr>
            </w:pPr>
            <w:r w:rsidRPr="004E6F5A">
              <w:rPr>
                <w:color w:val="000000" w:themeColor="text1"/>
                <w:sz w:val="20"/>
                <w:szCs w:val="20"/>
              </w:rPr>
              <w:t>adaptive meshing to</w:t>
            </w:r>
            <w:r>
              <w:rPr>
                <w:color w:val="000000" w:themeColor="text1"/>
                <w:sz w:val="20"/>
                <w:szCs w:val="20"/>
              </w:rPr>
              <w:t xml:space="preserve"> facilitate </w:t>
            </w:r>
            <w:r w:rsidRPr="004E6F5A">
              <w:rPr>
                <w:color w:val="000000" w:themeColor="text1"/>
                <w:sz w:val="20"/>
                <w:szCs w:val="20"/>
              </w:rPr>
              <w:t xml:space="preserve">cost-efficient computations of </w:t>
            </w:r>
            <w:r w:rsidR="00446E4F">
              <w:rPr>
                <w:color w:val="000000" w:themeColor="text1"/>
                <w:sz w:val="20"/>
                <w:szCs w:val="20"/>
              </w:rPr>
              <w:t xml:space="preserve">the </w:t>
            </w:r>
            <w:r w:rsidRPr="004E6F5A">
              <w:rPr>
                <w:color w:val="000000" w:themeColor="text1"/>
                <w:sz w:val="20"/>
                <w:szCs w:val="20"/>
              </w:rPr>
              <w:t>large-scale separation problem</w:t>
            </w:r>
            <w:r w:rsidR="00446E4F">
              <w:rPr>
                <w:color w:val="000000" w:themeColor="text1"/>
                <w:sz w:val="20"/>
                <w:szCs w:val="20"/>
              </w:rPr>
              <w:t xml:space="preserve"> typical for fusion scenarios with large wetted areas and shallow melt layers</w:t>
            </w:r>
          </w:p>
          <w:p w14:paraId="01549FB0" w14:textId="19BA95C2" w:rsidR="00446E4F" w:rsidRPr="004E6F5A" w:rsidRDefault="00446E4F" w:rsidP="00446E4F">
            <w:pPr>
              <w:pStyle w:val="KeinLeerraum"/>
              <w:numPr>
                <w:ilvl w:val="0"/>
                <w:numId w:val="2"/>
              </w:numPr>
              <w:jc w:val="both"/>
              <w:rPr>
                <w:color w:val="000000" w:themeColor="text1"/>
                <w:sz w:val="20"/>
                <w:szCs w:val="20"/>
              </w:rPr>
            </w:pPr>
            <w:r>
              <w:rPr>
                <w:color w:val="000000" w:themeColor="text1"/>
                <w:sz w:val="20"/>
                <w:szCs w:val="20"/>
              </w:rPr>
              <w:t>efficient parallelization</w:t>
            </w:r>
          </w:p>
          <w:p w14:paraId="73850EF9" w14:textId="6942E32D" w:rsidR="004E6F5A" w:rsidRDefault="004E6F5A" w:rsidP="00446E4F">
            <w:pPr>
              <w:pStyle w:val="KeinLeerraum"/>
              <w:numPr>
                <w:ilvl w:val="0"/>
                <w:numId w:val="2"/>
              </w:numPr>
              <w:jc w:val="both"/>
              <w:rPr>
                <w:color w:val="000000" w:themeColor="text1"/>
                <w:sz w:val="20"/>
                <w:szCs w:val="20"/>
              </w:rPr>
            </w:pPr>
            <w:r>
              <w:rPr>
                <w:color w:val="000000" w:themeColor="text1"/>
                <w:sz w:val="20"/>
                <w:szCs w:val="20"/>
              </w:rPr>
              <w:t xml:space="preserve">‘physics-driven’ </w:t>
            </w:r>
            <w:r w:rsidR="00784398">
              <w:rPr>
                <w:color w:val="000000" w:themeColor="text1"/>
                <w:sz w:val="20"/>
                <w:szCs w:val="20"/>
              </w:rPr>
              <w:t xml:space="preserve">input file </w:t>
            </w:r>
            <w:r w:rsidR="00446E4F">
              <w:rPr>
                <w:color w:val="000000" w:themeColor="text1"/>
                <w:sz w:val="20"/>
                <w:szCs w:val="20"/>
              </w:rPr>
              <w:t xml:space="preserve">and user friendly interface </w:t>
            </w:r>
          </w:p>
          <w:p w14:paraId="448B38B7" w14:textId="7FBF64D9" w:rsidR="00446E4F" w:rsidRDefault="00446E4F" w:rsidP="00446E4F">
            <w:pPr>
              <w:pStyle w:val="KeinLeerraum"/>
              <w:numPr>
                <w:ilvl w:val="0"/>
                <w:numId w:val="2"/>
              </w:numPr>
              <w:jc w:val="both"/>
              <w:rPr>
                <w:color w:val="000000" w:themeColor="text1"/>
                <w:sz w:val="20"/>
                <w:szCs w:val="20"/>
              </w:rPr>
            </w:pPr>
            <w:r>
              <w:rPr>
                <w:color w:val="000000" w:themeColor="text1"/>
                <w:sz w:val="20"/>
                <w:szCs w:val="20"/>
              </w:rPr>
              <w:t xml:space="preserve">coupling of heat and fluid solvers with </w:t>
            </w:r>
            <w:r w:rsidR="0003795F">
              <w:rPr>
                <w:color w:val="000000" w:themeColor="text1"/>
                <w:sz w:val="20"/>
                <w:szCs w:val="20"/>
              </w:rPr>
              <w:t xml:space="preserve">a </w:t>
            </w:r>
            <w:r>
              <w:rPr>
                <w:color w:val="000000" w:themeColor="text1"/>
                <w:sz w:val="20"/>
                <w:szCs w:val="20"/>
              </w:rPr>
              <w:t xml:space="preserve">current </w:t>
            </w:r>
            <w:r w:rsidR="0003795F">
              <w:rPr>
                <w:color w:val="000000" w:themeColor="text1"/>
                <w:sz w:val="20"/>
                <w:szCs w:val="20"/>
              </w:rPr>
              <w:t>propagation solver to allow</w:t>
            </w:r>
            <w:r w:rsidR="000E6E49">
              <w:rPr>
                <w:color w:val="000000" w:themeColor="text1"/>
                <w:sz w:val="20"/>
                <w:szCs w:val="20"/>
              </w:rPr>
              <w:t xml:space="preserve"> refined Lorentz force estimates</w:t>
            </w:r>
          </w:p>
          <w:p w14:paraId="338A5804" w14:textId="18D60B5A" w:rsidR="004E6F5A" w:rsidRDefault="004E6F5A" w:rsidP="00446E4F">
            <w:pPr>
              <w:pStyle w:val="KeinLeerraum"/>
              <w:numPr>
                <w:ilvl w:val="0"/>
                <w:numId w:val="2"/>
              </w:numPr>
              <w:jc w:val="both"/>
              <w:rPr>
                <w:color w:val="000000" w:themeColor="text1"/>
                <w:sz w:val="20"/>
                <w:szCs w:val="20"/>
              </w:rPr>
            </w:pPr>
            <w:r>
              <w:rPr>
                <w:color w:val="000000" w:themeColor="text1"/>
                <w:sz w:val="20"/>
                <w:szCs w:val="20"/>
              </w:rPr>
              <w:t>flexibility for various scenarios (PFC geometry,</w:t>
            </w:r>
            <w:r w:rsidR="0003795F">
              <w:rPr>
                <w:color w:val="000000" w:themeColor="text1"/>
                <w:sz w:val="20"/>
                <w:szCs w:val="20"/>
              </w:rPr>
              <w:t xml:space="preserve"> wetting geometry, active cooling</w:t>
            </w:r>
            <w:r>
              <w:rPr>
                <w:color w:val="000000" w:themeColor="text1"/>
                <w:sz w:val="20"/>
                <w:szCs w:val="20"/>
              </w:rPr>
              <w:t xml:space="preserve">, </w:t>
            </w:r>
            <w:proofErr w:type="spellStart"/>
            <w:r w:rsidR="00446E4F">
              <w:rPr>
                <w:color w:val="000000" w:themeColor="text1"/>
                <w:sz w:val="20"/>
                <w:szCs w:val="20"/>
              </w:rPr>
              <w:t>etc</w:t>
            </w:r>
            <w:proofErr w:type="spellEnd"/>
            <w:r>
              <w:rPr>
                <w:color w:val="000000" w:themeColor="text1"/>
                <w:sz w:val="20"/>
                <w:szCs w:val="20"/>
              </w:rPr>
              <w:t>)</w:t>
            </w:r>
          </w:p>
          <w:p w14:paraId="667E30AB" w14:textId="709C7330" w:rsidR="00BB30C8" w:rsidRDefault="00BB30C8" w:rsidP="00446E4F">
            <w:pPr>
              <w:pStyle w:val="KeinLeerraum"/>
              <w:numPr>
                <w:ilvl w:val="0"/>
                <w:numId w:val="2"/>
              </w:numPr>
              <w:jc w:val="both"/>
              <w:rPr>
                <w:color w:val="000000" w:themeColor="text1"/>
                <w:sz w:val="20"/>
                <w:szCs w:val="20"/>
              </w:rPr>
            </w:pPr>
            <w:r>
              <w:rPr>
                <w:color w:val="000000" w:themeColor="text1"/>
                <w:sz w:val="20"/>
                <w:szCs w:val="20"/>
              </w:rPr>
              <w:t>interpretation of transient melting scenarios in present fusion-relevant plasma devices</w:t>
            </w:r>
          </w:p>
          <w:p w14:paraId="0E4D754D" w14:textId="4E92A731" w:rsidR="00446E4F" w:rsidRPr="004E6F5A" w:rsidRDefault="00446E4F" w:rsidP="00446E4F">
            <w:pPr>
              <w:pStyle w:val="KeinLeerraum"/>
              <w:numPr>
                <w:ilvl w:val="0"/>
                <w:numId w:val="2"/>
              </w:numPr>
              <w:jc w:val="both"/>
              <w:rPr>
                <w:color w:val="000000" w:themeColor="text1"/>
                <w:sz w:val="20"/>
                <w:szCs w:val="20"/>
              </w:rPr>
            </w:pPr>
            <w:r>
              <w:rPr>
                <w:color w:val="000000" w:themeColor="text1"/>
                <w:sz w:val="20"/>
                <w:szCs w:val="20"/>
              </w:rPr>
              <w:t xml:space="preserve">exploration of </w:t>
            </w:r>
            <w:r w:rsidR="000E6E49">
              <w:rPr>
                <w:color w:val="000000" w:themeColor="text1"/>
                <w:sz w:val="20"/>
                <w:szCs w:val="20"/>
              </w:rPr>
              <w:t xml:space="preserve">transient load </w:t>
            </w:r>
            <w:r>
              <w:rPr>
                <w:color w:val="000000" w:themeColor="text1"/>
                <w:sz w:val="20"/>
                <w:szCs w:val="20"/>
              </w:rPr>
              <w:t>melting scenarios of relevance to future reactors</w:t>
            </w:r>
            <w:r w:rsidR="00915DEC">
              <w:rPr>
                <w:color w:val="000000" w:themeColor="text1"/>
                <w:sz w:val="20"/>
                <w:szCs w:val="20"/>
              </w:rPr>
              <w:t>,</w:t>
            </w:r>
          </w:p>
          <w:p w14:paraId="2B6208AE" w14:textId="76610327" w:rsidR="0060635F" w:rsidRPr="004E6F5A" w:rsidRDefault="00915DEC" w:rsidP="00094FCB">
            <w:pPr>
              <w:pStyle w:val="KeinLeerraum"/>
              <w:rPr>
                <w:color w:val="000000" w:themeColor="text1"/>
                <w:sz w:val="20"/>
                <w:szCs w:val="20"/>
              </w:rPr>
            </w:pPr>
            <w:r>
              <w:rPr>
                <w:color w:val="000000" w:themeColor="text1"/>
                <w:sz w:val="20"/>
                <w:szCs w:val="20"/>
              </w:rPr>
              <w:t>this makes it compa</w:t>
            </w:r>
            <w:r w:rsidR="000E1D22">
              <w:rPr>
                <w:color w:val="000000" w:themeColor="text1"/>
                <w:sz w:val="20"/>
                <w:szCs w:val="20"/>
              </w:rPr>
              <w:t xml:space="preserve">tible with the novel infrastructure </w:t>
            </w:r>
            <w:r>
              <w:rPr>
                <w:color w:val="000000" w:themeColor="text1"/>
                <w:sz w:val="20"/>
                <w:szCs w:val="20"/>
              </w:rPr>
              <w:t xml:space="preserve">applied </w:t>
            </w:r>
            <w:r w:rsidR="000E1D22">
              <w:rPr>
                <w:color w:val="000000" w:themeColor="text1"/>
                <w:sz w:val="20"/>
                <w:szCs w:val="20"/>
              </w:rPr>
              <w:t>in the TSVV</w:t>
            </w:r>
            <w:r w:rsidR="00094FCB">
              <w:rPr>
                <w:color w:val="000000" w:themeColor="text1"/>
                <w:sz w:val="20"/>
                <w:szCs w:val="20"/>
              </w:rPr>
              <w:t>s</w:t>
            </w:r>
            <w:r>
              <w:rPr>
                <w:color w:val="000000" w:themeColor="text1"/>
                <w:sz w:val="20"/>
                <w:szCs w:val="20"/>
              </w:rPr>
              <w:t>.</w:t>
            </w:r>
            <w:r w:rsidR="000E1D22">
              <w:rPr>
                <w:color w:val="000000" w:themeColor="text1"/>
                <w:sz w:val="20"/>
                <w:szCs w:val="20"/>
              </w:rPr>
              <w:t xml:space="preserve"> </w:t>
            </w:r>
          </w:p>
        </w:tc>
      </w:tr>
      <w:tr w:rsidR="001F791A" w14:paraId="25314DA1" w14:textId="77777777" w:rsidTr="00297618">
        <w:tc>
          <w:tcPr>
            <w:tcW w:w="2124" w:type="dxa"/>
          </w:tcPr>
          <w:p w14:paraId="34DD27EE" w14:textId="5AE83BD3" w:rsidR="00BB30C8" w:rsidRPr="00217CFE" w:rsidRDefault="00625D1C" w:rsidP="00BB30C8">
            <w:pPr>
              <w:pStyle w:val="KeinLeerraum"/>
              <w:rPr>
                <w:i/>
                <w:iCs/>
                <w:sz w:val="20"/>
                <w:szCs w:val="20"/>
              </w:rPr>
            </w:pPr>
            <w:r>
              <w:rPr>
                <w:b/>
                <w:bCs/>
              </w:rPr>
              <w:t>High-level w</w:t>
            </w:r>
            <w:r w:rsidR="001D2819">
              <w:rPr>
                <w:b/>
                <w:bCs/>
              </w:rPr>
              <w:t>ork</w:t>
            </w:r>
            <w:r w:rsidR="00791C84">
              <w:rPr>
                <w:b/>
                <w:bCs/>
              </w:rPr>
              <w:t xml:space="preserve"> description</w:t>
            </w:r>
            <w:r w:rsidR="00CF1FFE" w:rsidRPr="00217CFE">
              <w:rPr>
                <w:b/>
                <w:bCs/>
                <w:sz w:val="20"/>
                <w:szCs w:val="20"/>
              </w:rPr>
              <w:t xml:space="preserve"> </w:t>
            </w:r>
            <w:r w:rsidR="0049235F">
              <w:rPr>
                <w:b/>
                <w:bCs/>
                <w:sz w:val="20"/>
                <w:szCs w:val="20"/>
              </w:rPr>
              <w:br/>
            </w:r>
          </w:p>
          <w:p w14:paraId="25867950" w14:textId="3CFBFC89" w:rsidR="00CF1FFE" w:rsidRPr="00217CFE" w:rsidRDefault="00CF1FFE" w:rsidP="00CF1FFE">
            <w:pPr>
              <w:pStyle w:val="KeinLeerraum"/>
              <w:rPr>
                <w:i/>
                <w:iCs/>
                <w:sz w:val="20"/>
                <w:szCs w:val="20"/>
              </w:rPr>
            </w:pPr>
          </w:p>
        </w:tc>
        <w:tc>
          <w:tcPr>
            <w:tcW w:w="8786" w:type="dxa"/>
            <w:gridSpan w:val="2"/>
          </w:tcPr>
          <w:p w14:paraId="77268B86" w14:textId="10344B78" w:rsidR="003C1FA1" w:rsidRDefault="000539D2" w:rsidP="00A136F6">
            <w:pPr>
              <w:pStyle w:val="KeinLeerraum"/>
              <w:jc w:val="both"/>
              <w:rPr>
                <w:sz w:val="20"/>
                <w:szCs w:val="20"/>
                <w:lang w:val="en-US"/>
              </w:rPr>
            </w:pPr>
            <w:r>
              <w:rPr>
                <w:sz w:val="20"/>
                <w:szCs w:val="20"/>
                <w:lang w:val="en-US"/>
              </w:rPr>
              <w:t>The new code</w:t>
            </w:r>
            <w:r w:rsidR="00A136F6">
              <w:rPr>
                <w:sz w:val="20"/>
                <w:szCs w:val="20"/>
                <w:lang w:val="en-US"/>
              </w:rPr>
              <w:t xml:space="preserve"> </w:t>
            </w:r>
            <w:r w:rsidR="00F120E0" w:rsidRPr="00F120E0">
              <w:rPr>
                <w:b/>
                <w:sz w:val="20"/>
                <w:szCs w:val="20"/>
                <w:lang w:val="en-US"/>
              </w:rPr>
              <w:t>3MF</w:t>
            </w:r>
            <w:r w:rsidR="00D135FC">
              <w:rPr>
                <w:sz w:val="20"/>
                <w:szCs w:val="20"/>
                <w:lang w:val="en-US"/>
              </w:rPr>
              <w:t xml:space="preserve"> </w:t>
            </w:r>
            <w:r w:rsidR="00A136F6">
              <w:rPr>
                <w:sz w:val="20"/>
                <w:szCs w:val="20"/>
                <w:lang w:val="en-US"/>
              </w:rPr>
              <w:t>will utilize</w:t>
            </w:r>
            <w:r>
              <w:rPr>
                <w:sz w:val="20"/>
                <w:szCs w:val="20"/>
                <w:lang w:val="en-US"/>
              </w:rPr>
              <w:t xml:space="preserve"> t</w:t>
            </w:r>
            <w:r w:rsidR="003C1FA1" w:rsidRPr="003C1FA1">
              <w:rPr>
                <w:sz w:val="20"/>
                <w:szCs w:val="20"/>
                <w:lang w:val="en-US"/>
              </w:rPr>
              <w:t>he adaptive</w:t>
            </w:r>
            <w:r w:rsidR="0003795F">
              <w:rPr>
                <w:sz w:val="20"/>
                <w:szCs w:val="20"/>
                <w:lang w:val="en-US"/>
              </w:rPr>
              <w:t xml:space="preserve"> mesh refinement package </w:t>
            </w:r>
            <w:hyperlink r:id="rId15" w:history="1">
              <w:proofErr w:type="spellStart"/>
              <w:r w:rsidR="0003795F" w:rsidRPr="0003795F">
                <w:rPr>
                  <w:rStyle w:val="Hyperlink"/>
                  <w:sz w:val="20"/>
                  <w:szCs w:val="20"/>
                  <w:lang w:val="en-US"/>
                </w:rPr>
                <w:t>AMReX</w:t>
              </w:r>
              <w:proofErr w:type="spellEnd"/>
            </w:hyperlink>
            <w:r w:rsidR="0003795F">
              <w:rPr>
                <w:sz w:val="20"/>
                <w:szCs w:val="20"/>
                <w:lang w:val="en-US"/>
              </w:rPr>
              <w:t xml:space="preserve"> </w:t>
            </w:r>
            <w:r>
              <w:rPr>
                <w:sz w:val="20"/>
                <w:szCs w:val="20"/>
                <w:lang w:val="en-US"/>
              </w:rPr>
              <w:t>for</w:t>
            </w:r>
            <w:r w:rsidR="003C1FA1" w:rsidRPr="003C1FA1">
              <w:rPr>
                <w:sz w:val="20"/>
                <w:szCs w:val="20"/>
                <w:lang w:val="en-US"/>
              </w:rPr>
              <w:t xml:space="preserve"> </w:t>
            </w:r>
            <w:r w:rsidR="0003795F">
              <w:rPr>
                <w:sz w:val="20"/>
                <w:szCs w:val="20"/>
                <w:lang w:val="en-US"/>
              </w:rPr>
              <w:t xml:space="preserve">the </w:t>
            </w:r>
            <w:r w:rsidR="003C1FA1" w:rsidRPr="003C1FA1">
              <w:rPr>
                <w:sz w:val="20"/>
                <w:szCs w:val="20"/>
                <w:lang w:val="en-US"/>
              </w:rPr>
              <w:t>construct</w:t>
            </w:r>
            <w:r w:rsidR="00452FE1">
              <w:rPr>
                <w:sz w:val="20"/>
                <w:szCs w:val="20"/>
                <w:lang w:val="en-US"/>
              </w:rPr>
              <w:t>ion of optimized</w:t>
            </w:r>
            <w:r w:rsidR="003C1FA1" w:rsidRPr="003C1FA1">
              <w:rPr>
                <w:sz w:val="20"/>
                <w:szCs w:val="20"/>
                <w:lang w:val="en-US"/>
              </w:rPr>
              <w:t xml:space="preserve"> non-uniform grid</w:t>
            </w:r>
            <w:r w:rsidR="00452FE1">
              <w:rPr>
                <w:sz w:val="20"/>
                <w:szCs w:val="20"/>
                <w:lang w:val="en-US"/>
              </w:rPr>
              <w:t>s that allow</w:t>
            </w:r>
            <w:r w:rsidR="003C1FA1" w:rsidRPr="003C1FA1">
              <w:rPr>
                <w:sz w:val="20"/>
                <w:szCs w:val="20"/>
                <w:lang w:val="en-US"/>
              </w:rPr>
              <w:t xml:space="preserve"> to perform highly resolved calculations on the melt-plasma interface and </w:t>
            </w:r>
            <w:r w:rsidR="0003795F">
              <w:rPr>
                <w:sz w:val="20"/>
                <w:szCs w:val="20"/>
                <w:lang w:val="en-US"/>
              </w:rPr>
              <w:t xml:space="preserve">to </w:t>
            </w:r>
            <w:r w:rsidR="003C1FA1" w:rsidRPr="003C1FA1">
              <w:rPr>
                <w:sz w:val="20"/>
                <w:szCs w:val="20"/>
                <w:lang w:val="en-US"/>
              </w:rPr>
              <w:t xml:space="preserve">relax the grid </w:t>
            </w:r>
            <w:r>
              <w:rPr>
                <w:sz w:val="20"/>
                <w:szCs w:val="20"/>
                <w:lang w:val="en-US"/>
              </w:rPr>
              <w:t xml:space="preserve">size </w:t>
            </w:r>
            <w:r w:rsidR="003C1FA1" w:rsidRPr="003C1FA1">
              <w:rPr>
                <w:sz w:val="20"/>
                <w:szCs w:val="20"/>
                <w:lang w:val="en-US"/>
              </w:rPr>
              <w:t>further away</w:t>
            </w:r>
            <w:r>
              <w:rPr>
                <w:sz w:val="20"/>
                <w:szCs w:val="20"/>
                <w:lang w:val="en-US"/>
              </w:rPr>
              <w:t xml:space="preserve">. Both AMREX native </w:t>
            </w:r>
            <w:r w:rsidR="0003795F">
              <w:rPr>
                <w:sz w:val="20"/>
                <w:szCs w:val="20"/>
                <w:lang w:val="en-US"/>
              </w:rPr>
              <w:t xml:space="preserve">solvers </w:t>
            </w:r>
            <w:r>
              <w:rPr>
                <w:sz w:val="20"/>
                <w:szCs w:val="20"/>
                <w:lang w:val="en-US"/>
              </w:rPr>
              <w:t xml:space="preserve">as well as external solvers are to </w:t>
            </w:r>
            <w:proofErr w:type="gramStart"/>
            <w:r>
              <w:rPr>
                <w:sz w:val="20"/>
                <w:szCs w:val="20"/>
                <w:lang w:val="en-US"/>
              </w:rPr>
              <w:t>be employed</w:t>
            </w:r>
            <w:proofErr w:type="gramEnd"/>
            <w:r>
              <w:rPr>
                <w:sz w:val="20"/>
                <w:szCs w:val="20"/>
                <w:lang w:val="en-US"/>
              </w:rPr>
              <w:t xml:space="preserve">. </w:t>
            </w:r>
          </w:p>
          <w:p w14:paraId="5D006E3A" w14:textId="0E06A3C7" w:rsidR="00A136F6" w:rsidRDefault="00A136F6" w:rsidP="00A136F6">
            <w:pPr>
              <w:pStyle w:val="KeinLeerraum"/>
              <w:jc w:val="both"/>
              <w:rPr>
                <w:sz w:val="20"/>
                <w:szCs w:val="20"/>
                <w:lang w:val="en-US"/>
              </w:rPr>
            </w:pPr>
            <w:r>
              <w:rPr>
                <w:sz w:val="20"/>
                <w:szCs w:val="20"/>
                <w:lang w:val="en-US"/>
              </w:rPr>
              <w:t>Milestones:</w:t>
            </w:r>
          </w:p>
          <w:p w14:paraId="2FC5B461" w14:textId="421A82B4" w:rsidR="00A136F6" w:rsidRDefault="00A136F6" w:rsidP="00ED7A39">
            <w:pPr>
              <w:pStyle w:val="KeinLeerraum"/>
              <w:numPr>
                <w:ilvl w:val="0"/>
                <w:numId w:val="4"/>
              </w:numPr>
              <w:jc w:val="both"/>
              <w:rPr>
                <w:sz w:val="20"/>
                <w:szCs w:val="20"/>
                <w:lang w:val="en-US"/>
              </w:rPr>
            </w:pPr>
            <w:r>
              <w:rPr>
                <w:sz w:val="20"/>
                <w:szCs w:val="20"/>
                <w:lang w:val="en-US"/>
              </w:rPr>
              <w:t xml:space="preserve">Compete </w:t>
            </w:r>
            <w:r w:rsidR="0003795F">
              <w:rPr>
                <w:sz w:val="20"/>
                <w:szCs w:val="20"/>
                <w:lang w:val="en-US"/>
              </w:rPr>
              <w:t xml:space="preserve">the </w:t>
            </w:r>
            <w:r>
              <w:rPr>
                <w:sz w:val="20"/>
                <w:szCs w:val="20"/>
                <w:lang w:val="en-US"/>
              </w:rPr>
              <w:t xml:space="preserve">testing and benchmarking of </w:t>
            </w:r>
            <w:r w:rsidR="00452FE1">
              <w:rPr>
                <w:sz w:val="20"/>
                <w:szCs w:val="20"/>
                <w:lang w:val="en-US"/>
              </w:rPr>
              <w:t xml:space="preserve">the </w:t>
            </w:r>
            <w:r>
              <w:rPr>
                <w:sz w:val="20"/>
                <w:szCs w:val="20"/>
                <w:lang w:val="en-US"/>
              </w:rPr>
              <w:t>2D and 3D heat solver</w:t>
            </w:r>
          </w:p>
          <w:p w14:paraId="096F07A8" w14:textId="52E436FD" w:rsidR="00A136F6" w:rsidRDefault="00A136F6" w:rsidP="00ED7A39">
            <w:pPr>
              <w:pStyle w:val="KeinLeerraum"/>
              <w:numPr>
                <w:ilvl w:val="0"/>
                <w:numId w:val="4"/>
              </w:numPr>
              <w:jc w:val="both"/>
              <w:rPr>
                <w:sz w:val="20"/>
                <w:szCs w:val="20"/>
                <w:lang w:val="en-US"/>
              </w:rPr>
            </w:pPr>
            <w:r>
              <w:rPr>
                <w:sz w:val="20"/>
                <w:szCs w:val="20"/>
                <w:lang w:val="en-US"/>
              </w:rPr>
              <w:t xml:space="preserve">Complete </w:t>
            </w:r>
            <w:r w:rsidR="0003795F">
              <w:rPr>
                <w:sz w:val="20"/>
                <w:szCs w:val="20"/>
                <w:lang w:val="en-US"/>
              </w:rPr>
              <w:t xml:space="preserve">the </w:t>
            </w:r>
            <w:r>
              <w:rPr>
                <w:sz w:val="20"/>
                <w:szCs w:val="20"/>
                <w:lang w:val="en-US"/>
              </w:rPr>
              <w:t xml:space="preserve">testing and benchmarking of </w:t>
            </w:r>
            <w:r w:rsidR="00452FE1">
              <w:rPr>
                <w:sz w:val="20"/>
                <w:szCs w:val="20"/>
                <w:lang w:val="en-US"/>
              </w:rPr>
              <w:t xml:space="preserve">the </w:t>
            </w:r>
            <w:r>
              <w:rPr>
                <w:sz w:val="20"/>
                <w:szCs w:val="20"/>
                <w:lang w:val="en-US"/>
              </w:rPr>
              <w:t>1D and 2D fluid solver</w:t>
            </w:r>
          </w:p>
          <w:p w14:paraId="1E2EC3FE" w14:textId="1704B6E6" w:rsidR="00A136F6" w:rsidRDefault="00A136F6" w:rsidP="00ED7A39">
            <w:pPr>
              <w:pStyle w:val="KeinLeerraum"/>
              <w:numPr>
                <w:ilvl w:val="0"/>
                <w:numId w:val="4"/>
              </w:numPr>
              <w:jc w:val="both"/>
              <w:rPr>
                <w:sz w:val="20"/>
                <w:szCs w:val="20"/>
                <w:lang w:val="en-US"/>
              </w:rPr>
            </w:pPr>
            <w:r>
              <w:rPr>
                <w:sz w:val="20"/>
                <w:szCs w:val="20"/>
                <w:lang w:val="en-US"/>
              </w:rPr>
              <w:t xml:space="preserve">Implement </w:t>
            </w:r>
            <w:r w:rsidR="00ED7A39">
              <w:rPr>
                <w:sz w:val="20"/>
                <w:szCs w:val="20"/>
                <w:lang w:val="en-US"/>
              </w:rPr>
              <w:t xml:space="preserve">the </w:t>
            </w:r>
            <w:r>
              <w:rPr>
                <w:sz w:val="20"/>
                <w:szCs w:val="20"/>
                <w:lang w:val="en-US"/>
              </w:rPr>
              <w:t>current propagation equation</w:t>
            </w:r>
            <w:r w:rsidR="00ED7A39">
              <w:rPr>
                <w:sz w:val="20"/>
                <w:szCs w:val="20"/>
                <w:lang w:val="en-US"/>
              </w:rPr>
              <w:t xml:space="preserve"> in 3D</w:t>
            </w:r>
            <w:r w:rsidR="00452FE1">
              <w:rPr>
                <w:sz w:val="20"/>
                <w:szCs w:val="20"/>
                <w:lang w:val="en-US"/>
              </w:rPr>
              <w:t xml:space="preserve"> and</w:t>
            </w:r>
            <w:r>
              <w:rPr>
                <w:sz w:val="20"/>
                <w:szCs w:val="20"/>
                <w:lang w:val="en-US"/>
              </w:rPr>
              <w:t xml:space="preserve"> test the solver</w:t>
            </w:r>
          </w:p>
          <w:p w14:paraId="2CB14795" w14:textId="7E6BAA12" w:rsidR="00ED7A39" w:rsidRDefault="00ED7A39" w:rsidP="00ED7A39">
            <w:pPr>
              <w:pStyle w:val="KeinLeerraum"/>
              <w:numPr>
                <w:ilvl w:val="0"/>
                <w:numId w:val="4"/>
              </w:numPr>
              <w:jc w:val="both"/>
              <w:rPr>
                <w:sz w:val="20"/>
                <w:szCs w:val="20"/>
                <w:lang w:val="en-US"/>
              </w:rPr>
            </w:pPr>
            <w:r>
              <w:rPr>
                <w:sz w:val="20"/>
                <w:szCs w:val="20"/>
                <w:lang w:val="en-US"/>
              </w:rPr>
              <w:t xml:space="preserve">Enable </w:t>
            </w:r>
            <w:r w:rsidR="0003795F">
              <w:rPr>
                <w:sz w:val="20"/>
                <w:szCs w:val="20"/>
                <w:lang w:val="en-US"/>
              </w:rPr>
              <w:t xml:space="preserve">the </w:t>
            </w:r>
            <w:r>
              <w:rPr>
                <w:sz w:val="20"/>
                <w:szCs w:val="20"/>
                <w:lang w:val="en-US"/>
              </w:rPr>
              <w:t>full coupling between all three solvers</w:t>
            </w:r>
          </w:p>
          <w:p w14:paraId="0FD400A7" w14:textId="52414CB4" w:rsidR="00ED7A39" w:rsidRDefault="00ED7A39" w:rsidP="00ED7A39">
            <w:pPr>
              <w:pStyle w:val="KeinLeerraum"/>
              <w:numPr>
                <w:ilvl w:val="0"/>
                <w:numId w:val="4"/>
              </w:numPr>
              <w:jc w:val="both"/>
              <w:rPr>
                <w:sz w:val="20"/>
                <w:szCs w:val="20"/>
                <w:lang w:val="en-US"/>
              </w:rPr>
            </w:pPr>
            <w:r w:rsidRPr="00ED7A39">
              <w:rPr>
                <w:sz w:val="20"/>
                <w:szCs w:val="20"/>
                <w:lang w:val="en-US"/>
              </w:rPr>
              <w:t xml:space="preserve">Enable </w:t>
            </w:r>
            <w:r w:rsidR="0003795F">
              <w:rPr>
                <w:sz w:val="20"/>
                <w:szCs w:val="20"/>
                <w:lang w:val="en-US"/>
              </w:rPr>
              <w:t xml:space="preserve">the </w:t>
            </w:r>
            <w:r w:rsidRPr="00ED7A39">
              <w:rPr>
                <w:sz w:val="20"/>
                <w:szCs w:val="20"/>
                <w:lang w:val="en-US"/>
              </w:rPr>
              <w:t xml:space="preserve">possibility to define </w:t>
            </w:r>
            <w:r w:rsidR="00452FE1">
              <w:rPr>
                <w:sz w:val="20"/>
                <w:szCs w:val="20"/>
                <w:lang w:val="en-US"/>
              </w:rPr>
              <w:t xml:space="preserve">in the input files </w:t>
            </w:r>
            <w:r w:rsidR="0003795F">
              <w:rPr>
                <w:sz w:val="20"/>
                <w:szCs w:val="20"/>
                <w:lang w:val="en-US"/>
              </w:rPr>
              <w:t xml:space="preserve">the </w:t>
            </w:r>
            <w:r w:rsidRPr="00ED7A39">
              <w:rPr>
                <w:sz w:val="20"/>
                <w:szCs w:val="20"/>
                <w:lang w:val="en-US"/>
              </w:rPr>
              <w:t xml:space="preserve">scenario and relevant physics of </w:t>
            </w:r>
            <w:r w:rsidR="0003795F">
              <w:rPr>
                <w:sz w:val="20"/>
                <w:szCs w:val="20"/>
                <w:lang w:val="en-US"/>
              </w:rPr>
              <w:t xml:space="preserve">the </w:t>
            </w:r>
            <w:r w:rsidRPr="00ED7A39">
              <w:rPr>
                <w:sz w:val="20"/>
                <w:szCs w:val="20"/>
                <w:lang w:val="en-US"/>
              </w:rPr>
              <w:t>boundary condition</w:t>
            </w:r>
            <w:r w:rsidR="0003795F">
              <w:rPr>
                <w:sz w:val="20"/>
                <w:szCs w:val="20"/>
                <w:lang w:val="en-US"/>
              </w:rPr>
              <w:t>s</w:t>
            </w:r>
            <w:r w:rsidRPr="00ED7A39">
              <w:rPr>
                <w:sz w:val="20"/>
                <w:szCs w:val="20"/>
                <w:lang w:val="en-US"/>
              </w:rPr>
              <w:t xml:space="preserve"> t</w:t>
            </w:r>
            <w:r w:rsidR="00452FE1">
              <w:rPr>
                <w:sz w:val="20"/>
                <w:szCs w:val="20"/>
                <w:lang w:val="en-US"/>
              </w:rPr>
              <w:t>o be employed</w:t>
            </w:r>
            <w:r w:rsidRPr="00ED7A39">
              <w:rPr>
                <w:sz w:val="20"/>
                <w:szCs w:val="20"/>
                <w:lang w:val="en-US"/>
              </w:rPr>
              <w:t xml:space="preserve"> </w:t>
            </w:r>
          </w:p>
          <w:p w14:paraId="2E287E4B" w14:textId="56F96B29" w:rsidR="00364C60" w:rsidRPr="00ED7A39" w:rsidRDefault="00F120E0" w:rsidP="00ED7A39">
            <w:pPr>
              <w:pStyle w:val="KeinLeerraum"/>
              <w:numPr>
                <w:ilvl w:val="0"/>
                <w:numId w:val="4"/>
              </w:numPr>
              <w:jc w:val="both"/>
              <w:rPr>
                <w:sz w:val="20"/>
                <w:szCs w:val="20"/>
                <w:lang w:val="en-US"/>
              </w:rPr>
            </w:pPr>
            <w:r>
              <w:rPr>
                <w:sz w:val="20"/>
                <w:szCs w:val="20"/>
                <w:lang w:val="en-US"/>
              </w:rPr>
              <w:t xml:space="preserve">Comparison of </w:t>
            </w:r>
            <w:r w:rsidRPr="00F120E0">
              <w:rPr>
                <w:b/>
                <w:sz w:val="20"/>
                <w:szCs w:val="20"/>
                <w:lang w:val="en-US"/>
              </w:rPr>
              <w:t>3MF</w:t>
            </w:r>
            <w:r w:rsidR="00364C60" w:rsidRPr="00F120E0">
              <w:rPr>
                <w:b/>
                <w:sz w:val="20"/>
                <w:szCs w:val="20"/>
                <w:lang w:val="en-US"/>
              </w:rPr>
              <w:t xml:space="preserve"> </w:t>
            </w:r>
            <w:r w:rsidR="00364C60">
              <w:rPr>
                <w:sz w:val="20"/>
                <w:szCs w:val="20"/>
                <w:lang w:val="en-US"/>
              </w:rPr>
              <w:t>with MEMOS-U</w:t>
            </w:r>
            <w:r w:rsidR="00C1759D">
              <w:rPr>
                <w:sz w:val="20"/>
                <w:szCs w:val="20"/>
                <w:lang w:val="en-US"/>
              </w:rPr>
              <w:t xml:space="preserve"> runs</w:t>
            </w:r>
            <w:r w:rsidR="00364C60">
              <w:rPr>
                <w:sz w:val="20"/>
                <w:szCs w:val="20"/>
                <w:lang w:val="en-US"/>
              </w:rPr>
              <w:t xml:space="preserve"> on existing benchmark case</w:t>
            </w:r>
            <w:r w:rsidR="00C1759D">
              <w:rPr>
                <w:sz w:val="20"/>
                <w:szCs w:val="20"/>
                <w:lang w:val="en-US"/>
              </w:rPr>
              <w:t>s</w:t>
            </w:r>
            <w:r w:rsidR="00364C60">
              <w:rPr>
                <w:sz w:val="20"/>
                <w:szCs w:val="20"/>
                <w:lang w:val="en-US"/>
              </w:rPr>
              <w:t xml:space="preserve"> from portfolio of experiments performed in WEST, ASDEX Upgrade and JET.</w:t>
            </w:r>
          </w:p>
          <w:p w14:paraId="4AD1C65E" w14:textId="3A2D089F" w:rsidR="003C1FA1" w:rsidRPr="00ED7A39" w:rsidRDefault="00ED7A39" w:rsidP="00CF1FFE">
            <w:pPr>
              <w:pStyle w:val="KeinLeerraum"/>
              <w:rPr>
                <w:sz w:val="20"/>
                <w:szCs w:val="20"/>
                <w:lang w:val="en-US"/>
              </w:rPr>
            </w:pPr>
            <w:r w:rsidRPr="00ED7A39">
              <w:rPr>
                <w:sz w:val="20"/>
                <w:szCs w:val="20"/>
                <w:lang w:val="en-US"/>
              </w:rPr>
              <w:t>Deliverables</w:t>
            </w:r>
          </w:p>
          <w:p w14:paraId="7FEC0818" w14:textId="6D168B0E" w:rsidR="003118B8" w:rsidRDefault="00784398" w:rsidP="00784398">
            <w:pPr>
              <w:pStyle w:val="KeinLeerraum"/>
              <w:numPr>
                <w:ilvl w:val="0"/>
                <w:numId w:val="5"/>
              </w:numPr>
              <w:rPr>
                <w:sz w:val="20"/>
                <w:szCs w:val="20"/>
              </w:rPr>
            </w:pPr>
            <w:r w:rsidRPr="00784398">
              <w:rPr>
                <w:sz w:val="20"/>
                <w:szCs w:val="20"/>
              </w:rPr>
              <w:t>M</w:t>
            </w:r>
            <w:r w:rsidR="00452FE1">
              <w:rPr>
                <w:sz w:val="20"/>
                <w:szCs w:val="20"/>
              </w:rPr>
              <w:t>EMOS-U physics model implementation</w:t>
            </w:r>
            <w:r w:rsidRPr="00784398">
              <w:rPr>
                <w:sz w:val="20"/>
                <w:szCs w:val="20"/>
              </w:rPr>
              <w:t xml:space="preserve"> in a new code </w:t>
            </w:r>
            <w:r w:rsidR="00F120E0" w:rsidRPr="00F120E0">
              <w:rPr>
                <w:b/>
                <w:sz w:val="20"/>
                <w:szCs w:val="20"/>
              </w:rPr>
              <w:t>3MF</w:t>
            </w:r>
            <w:r w:rsidR="00915DEC">
              <w:rPr>
                <w:sz w:val="20"/>
                <w:szCs w:val="20"/>
              </w:rPr>
              <w:t xml:space="preserve"> </w:t>
            </w:r>
            <w:r w:rsidRPr="00784398">
              <w:rPr>
                <w:sz w:val="20"/>
                <w:szCs w:val="20"/>
              </w:rPr>
              <w:t xml:space="preserve">with fully coupled heat, fluid </w:t>
            </w:r>
            <w:r>
              <w:rPr>
                <w:sz w:val="20"/>
                <w:szCs w:val="20"/>
              </w:rPr>
              <w:t>and current propagation solvers</w:t>
            </w:r>
            <w:r w:rsidR="00915DEC">
              <w:rPr>
                <w:sz w:val="20"/>
                <w:szCs w:val="20"/>
              </w:rPr>
              <w:t>,</w:t>
            </w:r>
            <w:r>
              <w:rPr>
                <w:sz w:val="20"/>
                <w:szCs w:val="20"/>
              </w:rPr>
              <w:t xml:space="preserve"> which allows to simulate various scenarios by defining relevant physics parameters through the input file</w:t>
            </w:r>
          </w:p>
          <w:p w14:paraId="400B1D05" w14:textId="4A189DE9" w:rsidR="00784398" w:rsidRPr="00F120E0" w:rsidRDefault="00364C60" w:rsidP="00784398">
            <w:pPr>
              <w:pStyle w:val="KeinLeerraum"/>
              <w:numPr>
                <w:ilvl w:val="0"/>
                <w:numId w:val="5"/>
              </w:numPr>
              <w:rPr>
                <w:b/>
                <w:sz w:val="20"/>
                <w:szCs w:val="20"/>
              </w:rPr>
            </w:pPr>
            <w:r>
              <w:rPr>
                <w:sz w:val="20"/>
                <w:szCs w:val="20"/>
              </w:rPr>
              <w:t>Predictive m</w:t>
            </w:r>
            <w:r w:rsidR="00784398" w:rsidRPr="0003795F">
              <w:rPr>
                <w:sz w:val="20"/>
                <w:szCs w:val="20"/>
              </w:rPr>
              <w:t xml:space="preserve">odelling of </w:t>
            </w:r>
            <w:r w:rsidR="00F120E0">
              <w:rPr>
                <w:sz w:val="20"/>
                <w:szCs w:val="20"/>
              </w:rPr>
              <w:t>ITER, DEMO, and HELIAS</w:t>
            </w:r>
            <w:r w:rsidR="00784398" w:rsidRPr="0003795F">
              <w:rPr>
                <w:sz w:val="20"/>
                <w:szCs w:val="20"/>
              </w:rPr>
              <w:t xml:space="preserve"> relevant melting scenarios</w:t>
            </w:r>
            <w:r w:rsidR="00F120E0">
              <w:rPr>
                <w:sz w:val="20"/>
                <w:szCs w:val="20"/>
              </w:rPr>
              <w:t xml:space="preserve"> with </w:t>
            </w:r>
            <w:r w:rsidR="00F120E0" w:rsidRPr="00F120E0">
              <w:rPr>
                <w:b/>
                <w:sz w:val="20"/>
                <w:szCs w:val="20"/>
              </w:rPr>
              <w:t>3MF</w:t>
            </w:r>
          </w:p>
          <w:p w14:paraId="3DE63A9B" w14:textId="4F717B3C" w:rsidR="00364C60" w:rsidRPr="0003795F" w:rsidRDefault="00364C60" w:rsidP="00784398">
            <w:pPr>
              <w:pStyle w:val="KeinLeerraum"/>
              <w:numPr>
                <w:ilvl w:val="0"/>
                <w:numId w:val="5"/>
              </w:numPr>
              <w:rPr>
                <w:sz w:val="20"/>
                <w:szCs w:val="20"/>
              </w:rPr>
            </w:pPr>
            <w:r>
              <w:rPr>
                <w:sz w:val="20"/>
                <w:szCs w:val="20"/>
              </w:rPr>
              <w:t>Interpretative modelling of an existing or new benchmark case from portfolio of e</w:t>
            </w:r>
            <w:r w:rsidR="00BB30C8">
              <w:rPr>
                <w:sz w:val="20"/>
                <w:szCs w:val="20"/>
                <w:lang w:val="en-US"/>
              </w:rPr>
              <w:t>experiments</w:t>
            </w:r>
            <w:r>
              <w:rPr>
                <w:sz w:val="20"/>
                <w:szCs w:val="20"/>
                <w:lang w:val="en-US"/>
              </w:rPr>
              <w:t xml:space="preserve"> performed in WEST, ASDEX Upgrade and JET.</w:t>
            </w:r>
          </w:p>
          <w:p w14:paraId="3E2A9D67" w14:textId="0F6CFE0B" w:rsidR="00217CFE" w:rsidRPr="00217CFE" w:rsidRDefault="00217CFE" w:rsidP="00CF1FFE">
            <w:pPr>
              <w:pStyle w:val="KeinLeerraum"/>
              <w:rPr>
                <w:color w:val="D9D9D9" w:themeColor="background1" w:themeShade="D9"/>
                <w:sz w:val="20"/>
                <w:szCs w:val="20"/>
              </w:rPr>
            </w:pPr>
          </w:p>
          <w:tbl>
            <w:tblPr>
              <w:tblStyle w:val="Tabellenraster"/>
              <w:tblW w:w="0" w:type="auto"/>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2" w:space="0" w:color="A5A5A5" w:themeColor="accent3"/>
                <w:insideV w:val="single" w:sz="2" w:space="0" w:color="A5A5A5" w:themeColor="accent3"/>
              </w:tblBorders>
              <w:tblLook w:val="04A0" w:firstRow="1" w:lastRow="0" w:firstColumn="1" w:lastColumn="0" w:noHBand="0" w:noVBand="1"/>
            </w:tblPr>
            <w:tblGrid>
              <w:gridCol w:w="4573"/>
              <w:gridCol w:w="661"/>
              <w:gridCol w:w="662"/>
              <w:gridCol w:w="661"/>
              <w:gridCol w:w="662"/>
              <w:gridCol w:w="661"/>
              <w:gridCol w:w="662"/>
            </w:tblGrid>
            <w:tr w:rsidR="00FB4703" w:rsidRPr="00FB4703" w14:paraId="637C728E" w14:textId="77777777" w:rsidTr="00C97DA1">
              <w:trPr>
                <w:trHeight w:val="113"/>
              </w:trPr>
              <w:tc>
                <w:tcPr>
                  <w:tcW w:w="4573" w:type="dxa"/>
                </w:tcPr>
                <w:p w14:paraId="522C2FD7" w14:textId="68FA7E81" w:rsidR="00FB4703" w:rsidRPr="00FB4703" w:rsidRDefault="00FB4703" w:rsidP="00FB4703">
                  <w:pPr>
                    <w:pStyle w:val="KeinLeerraum"/>
                    <w:jc w:val="right"/>
                    <w:rPr>
                      <w:sz w:val="18"/>
                      <w:szCs w:val="18"/>
                    </w:rPr>
                  </w:pPr>
                  <w:r w:rsidRPr="00FB4703">
                    <w:rPr>
                      <w:sz w:val="18"/>
                      <w:szCs w:val="18"/>
                    </w:rPr>
                    <w:t>Months:</w:t>
                  </w:r>
                </w:p>
              </w:tc>
              <w:tc>
                <w:tcPr>
                  <w:tcW w:w="661" w:type="dxa"/>
                </w:tcPr>
                <w:p w14:paraId="04343608" w14:textId="67C308DC" w:rsidR="00FB4703" w:rsidRPr="00FB4703" w:rsidRDefault="00FB4703" w:rsidP="00217CFE">
                  <w:pPr>
                    <w:pStyle w:val="KeinLeerraum"/>
                    <w:rPr>
                      <w:sz w:val="18"/>
                      <w:szCs w:val="18"/>
                    </w:rPr>
                  </w:pPr>
                  <w:r>
                    <w:rPr>
                      <w:sz w:val="18"/>
                      <w:szCs w:val="18"/>
                    </w:rPr>
                    <w:t>1-6</w:t>
                  </w:r>
                </w:p>
              </w:tc>
              <w:tc>
                <w:tcPr>
                  <w:tcW w:w="662" w:type="dxa"/>
                </w:tcPr>
                <w:p w14:paraId="62098C19" w14:textId="507E8CE8" w:rsidR="00FB4703" w:rsidRPr="00FB4703" w:rsidRDefault="00FB4703" w:rsidP="00217CFE">
                  <w:pPr>
                    <w:pStyle w:val="KeinLeerraum"/>
                    <w:rPr>
                      <w:sz w:val="18"/>
                      <w:szCs w:val="18"/>
                    </w:rPr>
                  </w:pPr>
                  <w:r>
                    <w:rPr>
                      <w:sz w:val="18"/>
                      <w:szCs w:val="18"/>
                    </w:rPr>
                    <w:t>7-12</w:t>
                  </w:r>
                </w:p>
              </w:tc>
              <w:tc>
                <w:tcPr>
                  <w:tcW w:w="661" w:type="dxa"/>
                </w:tcPr>
                <w:p w14:paraId="30A90CF7" w14:textId="1892ECAD" w:rsidR="00FB4703" w:rsidRPr="00FB4703" w:rsidRDefault="00FB4703" w:rsidP="00217CFE">
                  <w:pPr>
                    <w:pStyle w:val="KeinLeerraum"/>
                    <w:rPr>
                      <w:sz w:val="18"/>
                      <w:szCs w:val="18"/>
                    </w:rPr>
                  </w:pPr>
                  <w:r>
                    <w:rPr>
                      <w:sz w:val="18"/>
                      <w:szCs w:val="18"/>
                    </w:rPr>
                    <w:t>13-18</w:t>
                  </w:r>
                </w:p>
              </w:tc>
              <w:tc>
                <w:tcPr>
                  <w:tcW w:w="662" w:type="dxa"/>
                </w:tcPr>
                <w:p w14:paraId="52FC2796" w14:textId="5A970080" w:rsidR="00FB4703" w:rsidRPr="00FB4703" w:rsidRDefault="00FB4703" w:rsidP="00217CFE">
                  <w:pPr>
                    <w:pStyle w:val="KeinLeerraum"/>
                    <w:rPr>
                      <w:sz w:val="18"/>
                      <w:szCs w:val="18"/>
                    </w:rPr>
                  </w:pPr>
                  <w:r>
                    <w:rPr>
                      <w:sz w:val="18"/>
                      <w:szCs w:val="18"/>
                    </w:rPr>
                    <w:t>19-24</w:t>
                  </w:r>
                </w:p>
              </w:tc>
              <w:tc>
                <w:tcPr>
                  <w:tcW w:w="661" w:type="dxa"/>
                </w:tcPr>
                <w:p w14:paraId="73873BDA" w14:textId="4131DA2C" w:rsidR="00FB4703" w:rsidRPr="00FB4703" w:rsidRDefault="00FB4703" w:rsidP="00217CFE">
                  <w:pPr>
                    <w:pStyle w:val="KeinLeerraum"/>
                    <w:rPr>
                      <w:sz w:val="18"/>
                      <w:szCs w:val="18"/>
                    </w:rPr>
                  </w:pPr>
                  <w:r>
                    <w:rPr>
                      <w:sz w:val="18"/>
                      <w:szCs w:val="18"/>
                    </w:rPr>
                    <w:t>25-30</w:t>
                  </w:r>
                </w:p>
              </w:tc>
              <w:tc>
                <w:tcPr>
                  <w:tcW w:w="662" w:type="dxa"/>
                </w:tcPr>
                <w:p w14:paraId="235087F4" w14:textId="2FB4D69B" w:rsidR="00FB4703" w:rsidRPr="00FB4703" w:rsidRDefault="00FB4703" w:rsidP="00217CFE">
                  <w:pPr>
                    <w:pStyle w:val="KeinLeerraum"/>
                    <w:rPr>
                      <w:sz w:val="18"/>
                      <w:szCs w:val="18"/>
                    </w:rPr>
                  </w:pPr>
                  <w:r>
                    <w:rPr>
                      <w:sz w:val="18"/>
                      <w:szCs w:val="18"/>
                    </w:rPr>
                    <w:t>31-36</w:t>
                  </w:r>
                </w:p>
              </w:tc>
            </w:tr>
            <w:tr w:rsidR="00FB4703" w:rsidRPr="00FB4703" w14:paraId="6AE0DA86" w14:textId="77777777" w:rsidTr="00C97DA1">
              <w:trPr>
                <w:trHeight w:val="113"/>
              </w:trPr>
              <w:tc>
                <w:tcPr>
                  <w:tcW w:w="4573" w:type="dxa"/>
                </w:tcPr>
                <w:p w14:paraId="3843A666" w14:textId="5F8447F9" w:rsidR="00FB4703" w:rsidRPr="00AA6EEB" w:rsidRDefault="00784398" w:rsidP="00217CFE">
                  <w:pPr>
                    <w:pStyle w:val="KeinLeerraum"/>
                    <w:rPr>
                      <w:i/>
                      <w:iCs/>
                      <w:sz w:val="18"/>
                      <w:szCs w:val="18"/>
                    </w:rPr>
                  </w:pPr>
                  <w:r w:rsidRPr="00AA6EEB">
                    <w:rPr>
                      <w:i/>
                      <w:iCs/>
                      <w:sz w:val="18"/>
                      <w:szCs w:val="18"/>
                    </w:rPr>
                    <w:t>Testing</w:t>
                  </w:r>
                  <w:r w:rsidR="0003795F">
                    <w:rPr>
                      <w:i/>
                      <w:iCs/>
                      <w:sz w:val="18"/>
                      <w:szCs w:val="18"/>
                    </w:rPr>
                    <w:t xml:space="preserve"> of</w:t>
                  </w:r>
                  <w:r w:rsidRPr="00AA6EEB">
                    <w:rPr>
                      <w:i/>
                      <w:iCs/>
                      <w:sz w:val="18"/>
                      <w:szCs w:val="18"/>
                    </w:rPr>
                    <w:t xml:space="preserve"> heat and fluid solvers</w:t>
                  </w:r>
                </w:p>
              </w:tc>
              <w:tc>
                <w:tcPr>
                  <w:tcW w:w="661" w:type="dxa"/>
                  <w:shd w:val="clear" w:color="auto" w:fill="B4C6E7" w:themeFill="accent1" w:themeFillTint="66"/>
                </w:tcPr>
                <w:p w14:paraId="165377B7" w14:textId="77777777" w:rsidR="00FB4703" w:rsidRPr="00FB4703" w:rsidRDefault="00FB4703" w:rsidP="00217CFE">
                  <w:pPr>
                    <w:pStyle w:val="KeinLeerraum"/>
                    <w:rPr>
                      <w:sz w:val="18"/>
                      <w:szCs w:val="18"/>
                    </w:rPr>
                  </w:pPr>
                </w:p>
              </w:tc>
              <w:tc>
                <w:tcPr>
                  <w:tcW w:w="662" w:type="dxa"/>
                </w:tcPr>
                <w:p w14:paraId="1B246719" w14:textId="77777777" w:rsidR="00FB4703" w:rsidRPr="00FB4703" w:rsidRDefault="00FB4703" w:rsidP="00217CFE">
                  <w:pPr>
                    <w:pStyle w:val="KeinLeerraum"/>
                    <w:rPr>
                      <w:sz w:val="18"/>
                      <w:szCs w:val="18"/>
                    </w:rPr>
                  </w:pPr>
                </w:p>
              </w:tc>
              <w:tc>
                <w:tcPr>
                  <w:tcW w:w="661" w:type="dxa"/>
                </w:tcPr>
                <w:p w14:paraId="13E93D35" w14:textId="77777777" w:rsidR="00FB4703" w:rsidRPr="00FB4703" w:rsidRDefault="00FB4703" w:rsidP="00217CFE">
                  <w:pPr>
                    <w:pStyle w:val="KeinLeerraum"/>
                    <w:rPr>
                      <w:sz w:val="18"/>
                      <w:szCs w:val="18"/>
                    </w:rPr>
                  </w:pPr>
                </w:p>
              </w:tc>
              <w:tc>
                <w:tcPr>
                  <w:tcW w:w="662" w:type="dxa"/>
                </w:tcPr>
                <w:p w14:paraId="7A4A37B9" w14:textId="77777777" w:rsidR="00FB4703" w:rsidRPr="00FB4703" w:rsidRDefault="00FB4703" w:rsidP="00217CFE">
                  <w:pPr>
                    <w:pStyle w:val="KeinLeerraum"/>
                    <w:rPr>
                      <w:sz w:val="18"/>
                      <w:szCs w:val="18"/>
                    </w:rPr>
                  </w:pPr>
                </w:p>
              </w:tc>
              <w:tc>
                <w:tcPr>
                  <w:tcW w:w="661" w:type="dxa"/>
                </w:tcPr>
                <w:p w14:paraId="734976A4" w14:textId="77777777" w:rsidR="00FB4703" w:rsidRPr="00FB4703" w:rsidRDefault="00FB4703" w:rsidP="00217CFE">
                  <w:pPr>
                    <w:pStyle w:val="KeinLeerraum"/>
                    <w:rPr>
                      <w:sz w:val="18"/>
                      <w:szCs w:val="18"/>
                    </w:rPr>
                  </w:pPr>
                </w:p>
              </w:tc>
              <w:tc>
                <w:tcPr>
                  <w:tcW w:w="662" w:type="dxa"/>
                </w:tcPr>
                <w:p w14:paraId="5E93E5B9" w14:textId="4439AA5C" w:rsidR="00FB4703" w:rsidRPr="00FB4703" w:rsidRDefault="00FB4703" w:rsidP="00217CFE">
                  <w:pPr>
                    <w:pStyle w:val="KeinLeerraum"/>
                    <w:rPr>
                      <w:sz w:val="18"/>
                      <w:szCs w:val="18"/>
                    </w:rPr>
                  </w:pPr>
                </w:p>
              </w:tc>
            </w:tr>
            <w:tr w:rsidR="00FB4703" w:rsidRPr="00FB4703" w14:paraId="0A070C32" w14:textId="77777777" w:rsidTr="00784398">
              <w:trPr>
                <w:trHeight w:val="113"/>
              </w:trPr>
              <w:tc>
                <w:tcPr>
                  <w:tcW w:w="4573" w:type="dxa"/>
                </w:tcPr>
                <w:p w14:paraId="4F2C2B3C" w14:textId="57834A15" w:rsidR="00FB4703" w:rsidRPr="00AA6EEB" w:rsidRDefault="0003795F" w:rsidP="00217CFE">
                  <w:pPr>
                    <w:pStyle w:val="KeinLeerraum"/>
                    <w:rPr>
                      <w:i/>
                      <w:iCs/>
                      <w:sz w:val="18"/>
                      <w:szCs w:val="18"/>
                    </w:rPr>
                  </w:pPr>
                  <w:r>
                    <w:rPr>
                      <w:i/>
                      <w:iCs/>
                      <w:sz w:val="18"/>
                      <w:szCs w:val="18"/>
                    </w:rPr>
                    <w:t>Implementation of</w:t>
                  </w:r>
                  <w:r w:rsidR="00784398" w:rsidRPr="00AA6EEB">
                    <w:rPr>
                      <w:i/>
                      <w:iCs/>
                      <w:sz w:val="18"/>
                      <w:szCs w:val="18"/>
                    </w:rPr>
                    <w:t xml:space="preserve"> current propagation solver</w:t>
                  </w:r>
                </w:p>
              </w:tc>
              <w:tc>
                <w:tcPr>
                  <w:tcW w:w="661" w:type="dxa"/>
                </w:tcPr>
                <w:p w14:paraId="6C836DA4" w14:textId="77777777" w:rsidR="00FB4703" w:rsidRPr="00FB4703" w:rsidRDefault="00FB4703" w:rsidP="00217CFE">
                  <w:pPr>
                    <w:pStyle w:val="KeinLeerraum"/>
                    <w:rPr>
                      <w:sz w:val="18"/>
                      <w:szCs w:val="18"/>
                    </w:rPr>
                  </w:pPr>
                </w:p>
              </w:tc>
              <w:tc>
                <w:tcPr>
                  <w:tcW w:w="662" w:type="dxa"/>
                  <w:shd w:val="clear" w:color="auto" w:fill="B4C6E7" w:themeFill="accent1" w:themeFillTint="66"/>
                </w:tcPr>
                <w:p w14:paraId="09122C69" w14:textId="77777777" w:rsidR="00FB4703" w:rsidRPr="00FB4703" w:rsidRDefault="00FB4703" w:rsidP="00217CFE">
                  <w:pPr>
                    <w:pStyle w:val="KeinLeerraum"/>
                    <w:rPr>
                      <w:sz w:val="18"/>
                      <w:szCs w:val="18"/>
                    </w:rPr>
                  </w:pPr>
                </w:p>
              </w:tc>
              <w:tc>
                <w:tcPr>
                  <w:tcW w:w="661" w:type="dxa"/>
                  <w:shd w:val="clear" w:color="auto" w:fill="FFFFFF" w:themeFill="background1"/>
                </w:tcPr>
                <w:p w14:paraId="080E74DD" w14:textId="77777777" w:rsidR="00FB4703" w:rsidRPr="00FB4703" w:rsidRDefault="00FB4703" w:rsidP="00217CFE">
                  <w:pPr>
                    <w:pStyle w:val="KeinLeerraum"/>
                    <w:rPr>
                      <w:sz w:val="18"/>
                      <w:szCs w:val="18"/>
                    </w:rPr>
                  </w:pPr>
                </w:p>
              </w:tc>
              <w:tc>
                <w:tcPr>
                  <w:tcW w:w="662" w:type="dxa"/>
                </w:tcPr>
                <w:p w14:paraId="3A02D8C7" w14:textId="77777777" w:rsidR="00FB4703" w:rsidRPr="00FB4703" w:rsidRDefault="00FB4703" w:rsidP="00217CFE">
                  <w:pPr>
                    <w:pStyle w:val="KeinLeerraum"/>
                    <w:rPr>
                      <w:sz w:val="18"/>
                      <w:szCs w:val="18"/>
                    </w:rPr>
                  </w:pPr>
                </w:p>
              </w:tc>
              <w:tc>
                <w:tcPr>
                  <w:tcW w:w="661" w:type="dxa"/>
                </w:tcPr>
                <w:p w14:paraId="372DF0C9" w14:textId="77777777" w:rsidR="00FB4703" w:rsidRPr="00FB4703" w:rsidRDefault="00FB4703" w:rsidP="00217CFE">
                  <w:pPr>
                    <w:pStyle w:val="KeinLeerraum"/>
                    <w:rPr>
                      <w:sz w:val="18"/>
                      <w:szCs w:val="18"/>
                    </w:rPr>
                  </w:pPr>
                </w:p>
              </w:tc>
              <w:tc>
                <w:tcPr>
                  <w:tcW w:w="662" w:type="dxa"/>
                </w:tcPr>
                <w:p w14:paraId="193E6721" w14:textId="051FFCB2" w:rsidR="00FB4703" w:rsidRPr="00FB4703" w:rsidRDefault="00FB4703" w:rsidP="00217CFE">
                  <w:pPr>
                    <w:pStyle w:val="KeinLeerraum"/>
                    <w:rPr>
                      <w:sz w:val="18"/>
                      <w:szCs w:val="18"/>
                    </w:rPr>
                  </w:pPr>
                </w:p>
              </w:tc>
            </w:tr>
            <w:tr w:rsidR="00FB4703" w:rsidRPr="00FB4703" w14:paraId="1F1D9174" w14:textId="77777777" w:rsidTr="00784398">
              <w:trPr>
                <w:trHeight w:val="113"/>
              </w:trPr>
              <w:tc>
                <w:tcPr>
                  <w:tcW w:w="4573" w:type="dxa"/>
                </w:tcPr>
                <w:p w14:paraId="4B6B9E46" w14:textId="7A48D38F" w:rsidR="00FB4703" w:rsidRPr="00AA6EEB" w:rsidRDefault="00784398" w:rsidP="00784398">
                  <w:pPr>
                    <w:pStyle w:val="KeinLeerraum"/>
                    <w:rPr>
                      <w:i/>
                      <w:iCs/>
                      <w:sz w:val="18"/>
                      <w:szCs w:val="18"/>
                    </w:rPr>
                  </w:pPr>
                  <w:r w:rsidRPr="00AA6EEB">
                    <w:rPr>
                      <w:i/>
                      <w:iCs/>
                      <w:sz w:val="18"/>
                      <w:szCs w:val="18"/>
                    </w:rPr>
                    <w:t>Coupling of the three solvers, testing</w:t>
                  </w:r>
                </w:p>
              </w:tc>
              <w:tc>
                <w:tcPr>
                  <w:tcW w:w="661" w:type="dxa"/>
                </w:tcPr>
                <w:p w14:paraId="7AA3C189" w14:textId="77777777" w:rsidR="00FB4703" w:rsidRPr="00FB4703" w:rsidRDefault="00FB4703" w:rsidP="00217CFE">
                  <w:pPr>
                    <w:pStyle w:val="KeinLeerraum"/>
                    <w:rPr>
                      <w:sz w:val="18"/>
                      <w:szCs w:val="18"/>
                    </w:rPr>
                  </w:pPr>
                </w:p>
              </w:tc>
              <w:tc>
                <w:tcPr>
                  <w:tcW w:w="662" w:type="dxa"/>
                </w:tcPr>
                <w:p w14:paraId="7744AA5D" w14:textId="77777777" w:rsidR="00FB4703" w:rsidRPr="00FB4703" w:rsidRDefault="00FB4703" w:rsidP="00217CFE">
                  <w:pPr>
                    <w:pStyle w:val="KeinLeerraum"/>
                    <w:rPr>
                      <w:sz w:val="18"/>
                      <w:szCs w:val="18"/>
                    </w:rPr>
                  </w:pPr>
                </w:p>
              </w:tc>
              <w:tc>
                <w:tcPr>
                  <w:tcW w:w="661" w:type="dxa"/>
                  <w:shd w:val="clear" w:color="auto" w:fill="B4C6E7" w:themeFill="accent1" w:themeFillTint="66"/>
                </w:tcPr>
                <w:p w14:paraId="35B3D9F5" w14:textId="77777777" w:rsidR="00FB4703" w:rsidRPr="00FB4703" w:rsidRDefault="00FB4703" w:rsidP="00217CFE">
                  <w:pPr>
                    <w:pStyle w:val="KeinLeerraum"/>
                    <w:rPr>
                      <w:sz w:val="18"/>
                      <w:szCs w:val="18"/>
                    </w:rPr>
                  </w:pPr>
                </w:p>
              </w:tc>
              <w:tc>
                <w:tcPr>
                  <w:tcW w:w="662" w:type="dxa"/>
                  <w:shd w:val="clear" w:color="auto" w:fill="FFFFFF" w:themeFill="background1"/>
                </w:tcPr>
                <w:p w14:paraId="1B5F4787" w14:textId="77777777" w:rsidR="00FB4703" w:rsidRPr="00FB4703" w:rsidRDefault="00FB4703" w:rsidP="00217CFE">
                  <w:pPr>
                    <w:pStyle w:val="KeinLeerraum"/>
                    <w:rPr>
                      <w:sz w:val="18"/>
                      <w:szCs w:val="18"/>
                    </w:rPr>
                  </w:pPr>
                </w:p>
              </w:tc>
              <w:tc>
                <w:tcPr>
                  <w:tcW w:w="661" w:type="dxa"/>
                </w:tcPr>
                <w:p w14:paraId="384B9CD6" w14:textId="77777777" w:rsidR="00FB4703" w:rsidRPr="00FB4703" w:rsidRDefault="00FB4703" w:rsidP="00217CFE">
                  <w:pPr>
                    <w:pStyle w:val="KeinLeerraum"/>
                    <w:rPr>
                      <w:sz w:val="18"/>
                      <w:szCs w:val="18"/>
                    </w:rPr>
                  </w:pPr>
                </w:p>
              </w:tc>
              <w:tc>
                <w:tcPr>
                  <w:tcW w:w="662" w:type="dxa"/>
                </w:tcPr>
                <w:p w14:paraId="2048ACE5" w14:textId="68B664F3" w:rsidR="00FB4703" w:rsidRPr="00FB4703" w:rsidRDefault="00FB4703" w:rsidP="00217CFE">
                  <w:pPr>
                    <w:pStyle w:val="KeinLeerraum"/>
                    <w:rPr>
                      <w:sz w:val="18"/>
                      <w:szCs w:val="18"/>
                    </w:rPr>
                  </w:pPr>
                </w:p>
              </w:tc>
            </w:tr>
            <w:tr w:rsidR="00FB4703" w:rsidRPr="00FB4703" w14:paraId="72775CAF" w14:textId="77777777" w:rsidTr="00AA6EEB">
              <w:trPr>
                <w:trHeight w:val="113"/>
              </w:trPr>
              <w:tc>
                <w:tcPr>
                  <w:tcW w:w="4573" w:type="dxa"/>
                </w:tcPr>
                <w:p w14:paraId="215FA676" w14:textId="66B7373A" w:rsidR="00FB4703" w:rsidRPr="00784398" w:rsidRDefault="0003795F" w:rsidP="00217CFE">
                  <w:pPr>
                    <w:pStyle w:val="KeinLeerraum"/>
                    <w:rPr>
                      <w:i/>
                      <w:sz w:val="18"/>
                      <w:szCs w:val="18"/>
                    </w:rPr>
                  </w:pPr>
                  <w:r>
                    <w:rPr>
                      <w:i/>
                      <w:sz w:val="18"/>
                      <w:szCs w:val="18"/>
                    </w:rPr>
                    <w:t>Embodiment of</w:t>
                  </w:r>
                  <w:r w:rsidR="00784398" w:rsidRPr="00784398">
                    <w:rPr>
                      <w:i/>
                      <w:sz w:val="18"/>
                      <w:szCs w:val="18"/>
                    </w:rPr>
                    <w:t xml:space="preserve"> flexible geometry and input</w:t>
                  </w:r>
                </w:p>
              </w:tc>
              <w:tc>
                <w:tcPr>
                  <w:tcW w:w="661" w:type="dxa"/>
                  <w:shd w:val="clear" w:color="auto" w:fill="B4C6E7" w:themeFill="accent1" w:themeFillTint="66"/>
                </w:tcPr>
                <w:p w14:paraId="6D81B283" w14:textId="77777777" w:rsidR="00FB4703" w:rsidRPr="00FB4703" w:rsidRDefault="00FB4703" w:rsidP="00217CFE">
                  <w:pPr>
                    <w:pStyle w:val="KeinLeerraum"/>
                    <w:rPr>
                      <w:sz w:val="18"/>
                      <w:szCs w:val="18"/>
                    </w:rPr>
                  </w:pPr>
                </w:p>
              </w:tc>
              <w:tc>
                <w:tcPr>
                  <w:tcW w:w="662" w:type="dxa"/>
                  <w:shd w:val="clear" w:color="auto" w:fill="B4C6E7" w:themeFill="accent1" w:themeFillTint="66"/>
                </w:tcPr>
                <w:p w14:paraId="23AA4DE4" w14:textId="77777777" w:rsidR="00FB4703" w:rsidRPr="00FB4703" w:rsidRDefault="00FB4703" w:rsidP="00217CFE">
                  <w:pPr>
                    <w:pStyle w:val="KeinLeerraum"/>
                    <w:rPr>
                      <w:sz w:val="18"/>
                      <w:szCs w:val="18"/>
                    </w:rPr>
                  </w:pPr>
                </w:p>
              </w:tc>
              <w:tc>
                <w:tcPr>
                  <w:tcW w:w="661" w:type="dxa"/>
                  <w:shd w:val="clear" w:color="auto" w:fill="B4C6E7" w:themeFill="accent1" w:themeFillTint="66"/>
                </w:tcPr>
                <w:p w14:paraId="577AF8DF" w14:textId="77777777" w:rsidR="00FB4703" w:rsidRPr="00FB4703" w:rsidRDefault="00FB4703" w:rsidP="00217CFE">
                  <w:pPr>
                    <w:pStyle w:val="KeinLeerraum"/>
                    <w:rPr>
                      <w:sz w:val="18"/>
                      <w:szCs w:val="18"/>
                    </w:rPr>
                  </w:pPr>
                </w:p>
              </w:tc>
              <w:tc>
                <w:tcPr>
                  <w:tcW w:w="662" w:type="dxa"/>
                  <w:shd w:val="clear" w:color="auto" w:fill="B4C6E7" w:themeFill="accent1" w:themeFillTint="66"/>
                </w:tcPr>
                <w:p w14:paraId="23AA6312" w14:textId="77777777" w:rsidR="00FB4703" w:rsidRPr="00FB4703" w:rsidRDefault="00FB4703" w:rsidP="00217CFE">
                  <w:pPr>
                    <w:pStyle w:val="KeinLeerraum"/>
                    <w:rPr>
                      <w:sz w:val="18"/>
                      <w:szCs w:val="18"/>
                    </w:rPr>
                  </w:pPr>
                </w:p>
              </w:tc>
              <w:tc>
                <w:tcPr>
                  <w:tcW w:w="661" w:type="dxa"/>
                </w:tcPr>
                <w:p w14:paraId="5AA77E22" w14:textId="77777777" w:rsidR="00FB4703" w:rsidRPr="00FB4703" w:rsidRDefault="00FB4703" w:rsidP="00217CFE">
                  <w:pPr>
                    <w:pStyle w:val="KeinLeerraum"/>
                    <w:rPr>
                      <w:sz w:val="18"/>
                      <w:szCs w:val="18"/>
                    </w:rPr>
                  </w:pPr>
                </w:p>
              </w:tc>
              <w:tc>
                <w:tcPr>
                  <w:tcW w:w="662" w:type="dxa"/>
                </w:tcPr>
                <w:p w14:paraId="669EBAF6" w14:textId="77777777" w:rsidR="00FB4703" w:rsidRPr="00FB4703" w:rsidRDefault="00FB4703" w:rsidP="00217CFE">
                  <w:pPr>
                    <w:pStyle w:val="KeinLeerraum"/>
                    <w:rPr>
                      <w:sz w:val="18"/>
                      <w:szCs w:val="18"/>
                    </w:rPr>
                  </w:pPr>
                </w:p>
              </w:tc>
            </w:tr>
            <w:tr w:rsidR="00C1759D" w:rsidRPr="00FB4703" w14:paraId="2CCA60DB" w14:textId="77777777" w:rsidTr="00C1759D">
              <w:trPr>
                <w:trHeight w:val="113"/>
              </w:trPr>
              <w:tc>
                <w:tcPr>
                  <w:tcW w:w="4573" w:type="dxa"/>
                </w:tcPr>
                <w:p w14:paraId="671D5430" w14:textId="489738B6" w:rsidR="00C1759D" w:rsidRDefault="00C1759D" w:rsidP="00217CFE">
                  <w:pPr>
                    <w:pStyle w:val="KeinLeerraum"/>
                    <w:rPr>
                      <w:i/>
                      <w:sz w:val="18"/>
                      <w:szCs w:val="18"/>
                    </w:rPr>
                  </w:pPr>
                  <w:r>
                    <w:rPr>
                      <w:i/>
                      <w:sz w:val="18"/>
                      <w:szCs w:val="18"/>
                    </w:rPr>
                    <w:t>Interpretative modelling of existing melting scenarios from portfolio of experiments</w:t>
                  </w:r>
                </w:p>
              </w:tc>
              <w:tc>
                <w:tcPr>
                  <w:tcW w:w="661" w:type="dxa"/>
                  <w:shd w:val="clear" w:color="auto" w:fill="auto"/>
                </w:tcPr>
                <w:p w14:paraId="6B33A83A" w14:textId="77777777" w:rsidR="00C1759D" w:rsidRPr="00FB4703" w:rsidRDefault="00C1759D" w:rsidP="00217CFE">
                  <w:pPr>
                    <w:pStyle w:val="KeinLeerraum"/>
                    <w:rPr>
                      <w:sz w:val="18"/>
                      <w:szCs w:val="18"/>
                    </w:rPr>
                  </w:pPr>
                </w:p>
              </w:tc>
              <w:tc>
                <w:tcPr>
                  <w:tcW w:w="662" w:type="dxa"/>
                  <w:shd w:val="clear" w:color="auto" w:fill="auto"/>
                </w:tcPr>
                <w:p w14:paraId="37C99D66" w14:textId="77777777" w:rsidR="00C1759D" w:rsidRPr="00FB4703" w:rsidRDefault="00C1759D" w:rsidP="00217CFE">
                  <w:pPr>
                    <w:pStyle w:val="KeinLeerraum"/>
                    <w:rPr>
                      <w:sz w:val="18"/>
                      <w:szCs w:val="18"/>
                    </w:rPr>
                  </w:pPr>
                </w:p>
              </w:tc>
              <w:tc>
                <w:tcPr>
                  <w:tcW w:w="661" w:type="dxa"/>
                  <w:shd w:val="clear" w:color="auto" w:fill="auto"/>
                </w:tcPr>
                <w:p w14:paraId="4CA83449" w14:textId="77777777" w:rsidR="00C1759D" w:rsidRPr="00FB4703" w:rsidRDefault="00C1759D" w:rsidP="00217CFE">
                  <w:pPr>
                    <w:pStyle w:val="KeinLeerraum"/>
                    <w:rPr>
                      <w:sz w:val="18"/>
                      <w:szCs w:val="18"/>
                    </w:rPr>
                  </w:pPr>
                </w:p>
              </w:tc>
              <w:tc>
                <w:tcPr>
                  <w:tcW w:w="662" w:type="dxa"/>
                  <w:shd w:val="clear" w:color="auto" w:fill="B4C6E7" w:themeFill="accent1" w:themeFillTint="66"/>
                </w:tcPr>
                <w:p w14:paraId="6BEAB360" w14:textId="77777777" w:rsidR="00C1759D" w:rsidRPr="00FB4703" w:rsidRDefault="00C1759D" w:rsidP="00217CFE">
                  <w:pPr>
                    <w:pStyle w:val="KeinLeerraum"/>
                    <w:rPr>
                      <w:sz w:val="18"/>
                      <w:szCs w:val="18"/>
                    </w:rPr>
                  </w:pPr>
                </w:p>
              </w:tc>
              <w:tc>
                <w:tcPr>
                  <w:tcW w:w="661" w:type="dxa"/>
                  <w:shd w:val="clear" w:color="auto" w:fill="B4C6E7" w:themeFill="accent1" w:themeFillTint="66"/>
                </w:tcPr>
                <w:p w14:paraId="25F0686E" w14:textId="77777777" w:rsidR="00C1759D" w:rsidRPr="00FB4703" w:rsidRDefault="00C1759D" w:rsidP="00217CFE">
                  <w:pPr>
                    <w:pStyle w:val="KeinLeerraum"/>
                    <w:rPr>
                      <w:sz w:val="18"/>
                      <w:szCs w:val="18"/>
                    </w:rPr>
                  </w:pPr>
                </w:p>
              </w:tc>
              <w:tc>
                <w:tcPr>
                  <w:tcW w:w="662" w:type="dxa"/>
                </w:tcPr>
                <w:p w14:paraId="12E315DC" w14:textId="77777777" w:rsidR="00C1759D" w:rsidRPr="00FB4703" w:rsidRDefault="00C1759D" w:rsidP="00217CFE">
                  <w:pPr>
                    <w:pStyle w:val="KeinLeerraum"/>
                    <w:rPr>
                      <w:sz w:val="18"/>
                      <w:szCs w:val="18"/>
                    </w:rPr>
                  </w:pPr>
                </w:p>
              </w:tc>
            </w:tr>
            <w:tr w:rsidR="00FB4703" w:rsidRPr="00FB4703" w14:paraId="03F5310E" w14:textId="77777777" w:rsidTr="00C1759D">
              <w:trPr>
                <w:trHeight w:val="113"/>
              </w:trPr>
              <w:tc>
                <w:tcPr>
                  <w:tcW w:w="4573" w:type="dxa"/>
                </w:tcPr>
                <w:p w14:paraId="34526984" w14:textId="17F1A5DB" w:rsidR="00FB4703" w:rsidRPr="00EC6C0B" w:rsidRDefault="00AA6EEB" w:rsidP="00217CFE">
                  <w:pPr>
                    <w:pStyle w:val="KeinLeerraum"/>
                    <w:rPr>
                      <w:i/>
                      <w:sz w:val="18"/>
                      <w:szCs w:val="18"/>
                    </w:rPr>
                  </w:pPr>
                  <w:r w:rsidRPr="00EC6C0B">
                    <w:rPr>
                      <w:i/>
                      <w:sz w:val="18"/>
                      <w:szCs w:val="18"/>
                    </w:rPr>
                    <w:t>Modelling of reactor relevant melting scenarios</w:t>
                  </w:r>
                </w:p>
              </w:tc>
              <w:tc>
                <w:tcPr>
                  <w:tcW w:w="661" w:type="dxa"/>
                </w:tcPr>
                <w:p w14:paraId="58A6CE0F" w14:textId="77777777" w:rsidR="00FB4703" w:rsidRPr="00FB4703" w:rsidRDefault="00FB4703" w:rsidP="00217CFE">
                  <w:pPr>
                    <w:pStyle w:val="KeinLeerraum"/>
                    <w:rPr>
                      <w:sz w:val="18"/>
                      <w:szCs w:val="18"/>
                    </w:rPr>
                  </w:pPr>
                </w:p>
              </w:tc>
              <w:tc>
                <w:tcPr>
                  <w:tcW w:w="662" w:type="dxa"/>
                </w:tcPr>
                <w:p w14:paraId="123BFEE0" w14:textId="77777777" w:rsidR="00FB4703" w:rsidRPr="00FB4703" w:rsidRDefault="00FB4703" w:rsidP="00217CFE">
                  <w:pPr>
                    <w:pStyle w:val="KeinLeerraum"/>
                    <w:rPr>
                      <w:sz w:val="18"/>
                      <w:szCs w:val="18"/>
                    </w:rPr>
                  </w:pPr>
                </w:p>
              </w:tc>
              <w:tc>
                <w:tcPr>
                  <w:tcW w:w="661" w:type="dxa"/>
                </w:tcPr>
                <w:p w14:paraId="22ADA0A8" w14:textId="77777777" w:rsidR="00FB4703" w:rsidRPr="00FB4703" w:rsidRDefault="00FB4703" w:rsidP="00217CFE">
                  <w:pPr>
                    <w:pStyle w:val="KeinLeerraum"/>
                    <w:rPr>
                      <w:sz w:val="18"/>
                      <w:szCs w:val="18"/>
                    </w:rPr>
                  </w:pPr>
                </w:p>
              </w:tc>
              <w:tc>
                <w:tcPr>
                  <w:tcW w:w="662" w:type="dxa"/>
                  <w:shd w:val="clear" w:color="auto" w:fill="FFFFFF" w:themeFill="background1"/>
                </w:tcPr>
                <w:p w14:paraId="79F9193B" w14:textId="77777777" w:rsidR="00FB4703" w:rsidRPr="00FB4703" w:rsidRDefault="00FB4703" w:rsidP="00217CFE">
                  <w:pPr>
                    <w:pStyle w:val="KeinLeerraum"/>
                    <w:rPr>
                      <w:sz w:val="18"/>
                      <w:szCs w:val="18"/>
                    </w:rPr>
                  </w:pPr>
                </w:p>
              </w:tc>
              <w:tc>
                <w:tcPr>
                  <w:tcW w:w="661" w:type="dxa"/>
                  <w:shd w:val="clear" w:color="auto" w:fill="B4C6E7" w:themeFill="accent1" w:themeFillTint="66"/>
                </w:tcPr>
                <w:p w14:paraId="6449E238" w14:textId="77777777" w:rsidR="00FB4703" w:rsidRPr="00FB4703" w:rsidRDefault="00FB4703" w:rsidP="00217CFE">
                  <w:pPr>
                    <w:pStyle w:val="KeinLeerraum"/>
                    <w:rPr>
                      <w:sz w:val="18"/>
                      <w:szCs w:val="18"/>
                    </w:rPr>
                  </w:pPr>
                </w:p>
              </w:tc>
              <w:tc>
                <w:tcPr>
                  <w:tcW w:w="662" w:type="dxa"/>
                  <w:shd w:val="clear" w:color="auto" w:fill="B4C6E7" w:themeFill="accent1" w:themeFillTint="66"/>
                </w:tcPr>
                <w:p w14:paraId="01786CDE" w14:textId="77777777" w:rsidR="00FB4703" w:rsidRPr="00FB4703" w:rsidRDefault="00FB4703" w:rsidP="00217CFE">
                  <w:pPr>
                    <w:pStyle w:val="KeinLeerraum"/>
                    <w:rPr>
                      <w:sz w:val="18"/>
                      <w:szCs w:val="18"/>
                    </w:rPr>
                  </w:pPr>
                </w:p>
              </w:tc>
            </w:tr>
          </w:tbl>
          <w:p w14:paraId="32E8B9EB" w14:textId="25BB6F17" w:rsidR="00217CFE" w:rsidRPr="00FB4703" w:rsidRDefault="00FB4703" w:rsidP="0071559F">
            <w:pPr>
              <w:pStyle w:val="KeinLeerraum"/>
              <w:spacing w:after="240"/>
              <w:jc w:val="center"/>
              <w:rPr>
                <w:i/>
                <w:iCs/>
                <w:color w:val="D9D9D9" w:themeColor="background1" w:themeShade="D9"/>
                <w:sz w:val="20"/>
                <w:szCs w:val="20"/>
              </w:rPr>
            </w:pPr>
            <w:r w:rsidRPr="00FB4703">
              <w:rPr>
                <w:i/>
                <w:iCs/>
                <w:sz w:val="18"/>
                <w:szCs w:val="18"/>
              </w:rPr>
              <w:t>Gantt chart of high-level activities</w:t>
            </w:r>
          </w:p>
        </w:tc>
      </w:tr>
      <w:tr w:rsidR="00287A1C" w14:paraId="3C02CEBB" w14:textId="77777777" w:rsidTr="00297618">
        <w:tc>
          <w:tcPr>
            <w:tcW w:w="5468" w:type="dxa"/>
            <w:gridSpan w:val="2"/>
          </w:tcPr>
          <w:p w14:paraId="6999D40F" w14:textId="0D3B71D4" w:rsidR="00287A1C" w:rsidRDefault="00287A1C" w:rsidP="00287A1C">
            <w:pPr>
              <w:pStyle w:val="KeinLeerraum"/>
              <w:rPr>
                <w:sz w:val="20"/>
                <w:szCs w:val="20"/>
              </w:rPr>
            </w:pPr>
            <w:r w:rsidRPr="00104AA1">
              <w:rPr>
                <w:b/>
                <w:bCs/>
              </w:rPr>
              <w:t>Competences required</w:t>
            </w:r>
            <w:r w:rsidRPr="00217CFE">
              <w:rPr>
                <w:sz w:val="20"/>
                <w:szCs w:val="20"/>
              </w:rPr>
              <w:t xml:space="preserve"> before start</w:t>
            </w:r>
            <w:r>
              <w:rPr>
                <w:sz w:val="20"/>
                <w:szCs w:val="20"/>
              </w:rPr>
              <w:t xml:space="preserve"> of EEG </w:t>
            </w:r>
            <w:r w:rsidRPr="00217CFE">
              <w:rPr>
                <w:sz w:val="20"/>
                <w:szCs w:val="20"/>
              </w:rPr>
              <w:t>(bullet points)</w:t>
            </w:r>
          </w:p>
          <w:p w14:paraId="4D6931F8" w14:textId="77777777" w:rsidR="00287A1C" w:rsidRPr="00967448" w:rsidRDefault="00287A1C" w:rsidP="00287A1C">
            <w:pPr>
              <w:pStyle w:val="KeinLeerraum"/>
              <w:numPr>
                <w:ilvl w:val="0"/>
                <w:numId w:val="1"/>
              </w:numPr>
              <w:jc w:val="both"/>
              <w:rPr>
                <w:rFonts w:ascii="Calibri" w:hAnsi="Calibri" w:cs="Calibri"/>
                <w:color w:val="A6A6A6" w:themeColor="background1" w:themeShade="A6"/>
                <w:sz w:val="18"/>
                <w:szCs w:val="18"/>
              </w:rPr>
            </w:pPr>
            <w:r w:rsidRPr="00967448">
              <w:rPr>
                <w:rStyle w:val="markedcontent"/>
                <w:rFonts w:ascii="Calibri" w:hAnsi="Calibri" w:cs="Calibri"/>
                <w:sz w:val="18"/>
                <w:szCs w:val="18"/>
              </w:rPr>
              <w:t>Engineers holding a Master Degree. A recipient of a Master degree or PhD in a University of</w:t>
            </w:r>
            <w:r w:rsidRPr="00967448">
              <w:rPr>
                <w:rFonts w:ascii="Calibri" w:hAnsi="Calibri" w:cs="Calibri"/>
                <w:sz w:val="18"/>
                <w:szCs w:val="18"/>
              </w:rPr>
              <w:t xml:space="preserve"> </w:t>
            </w:r>
            <w:r w:rsidRPr="00967448">
              <w:rPr>
                <w:rStyle w:val="markedcontent"/>
                <w:rFonts w:ascii="Calibri" w:hAnsi="Calibri" w:cs="Calibri"/>
                <w:sz w:val="18"/>
                <w:szCs w:val="18"/>
              </w:rPr>
              <w:t xml:space="preserve">Technology or Physics </w:t>
            </w:r>
            <w:proofErr w:type="gramStart"/>
            <w:r w:rsidRPr="00967448">
              <w:rPr>
                <w:rStyle w:val="markedcontent"/>
                <w:rFonts w:ascii="Calibri" w:hAnsi="Calibri" w:cs="Calibri"/>
                <w:sz w:val="18"/>
                <w:szCs w:val="18"/>
              </w:rPr>
              <w:t>will also be considered</w:t>
            </w:r>
            <w:proofErr w:type="gramEnd"/>
            <w:r w:rsidRPr="00967448">
              <w:rPr>
                <w:rStyle w:val="markedcontent"/>
                <w:rFonts w:ascii="Calibri" w:hAnsi="Calibri" w:cs="Calibri"/>
                <w:sz w:val="18"/>
                <w:szCs w:val="18"/>
              </w:rPr>
              <w:t xml:space="preserve"> as an eligible candidate.</w:t>
            </w:r>
          </w:p>
          <w:p w14:paraId="47B31A1C" w14:textId="298456EF" w:rsidR="00287A1C" w:rsidRPr="00217CFE" w:rsidRDefault="00287A1C" w:rsidP="00287A1C">
            <w:pPr>
              <w:pStyle w:val="KeinLeerraum"/>
              <w:ind w:left="360"/>
              <w:rPr>
                <w:sz w:val="20"/>
                <w:szCs w:val="20"/>
              </w:rPr>
            </w:pPr>
          </w:p>
        </w:tc>
        <w:tc>
          <w:tcPr>
            <w:tcW w:w="5442" w:type="dxa"/>
          </w:tcPr>
          <w:p w14:paraId="57AECDDC" w14:textId="295842A3" w:rsidR="00287A1C" w:rsidRPr="00217CFE" w:rsidRDefault="00287A1C" w:rsidP="00287A1C">
            <w:pPr>
              <w:pStyle w:val="KeinLeerraum"/>
              <w:jc w:val="both"/>
              <w:rPr>
                <w:sz w:val="20"/>
                <w:szCs w:val="20"/>
              </w:rPr>
            </w:pPr>
            <w:r w:rsidRPr="00104AA1">
              <w:rPr>
                <w:b/>
                <w:bCs/>
              </w:rPr>
              <w:t>Competence development</w:t>
            </w:r>
            <w:r w:rsidRPr="00217CFE">
              <w:rPr>
                <w:sz w:val="20"/>
                <w:szCs w:val="20"/>
              </w:rPr>
              <w:t xml:space="preserve"> </w:t>
            </w:r>
            <w:r>
              <w:rPr>
                <w:sz w:val="20"/>
                <w:szCs w:val="20"/>
              </w:rPr>
              <w:t xml:space="preserve">during </w:t>
            </w:r>
            <w:r w:rsidRPr="00217CFE">
              <w:rPr>
                <w:sz w:val="20"/>
                <w:szCs w:val="20"/>
              </w:rPr>
              <w:t>project</w:t>
            </w:r>
            <w:r>
              <w:rPr>
                <w:sz w:val="20"/>
                <w:szCs w:val="20"/>
              </w:rPr>
              <w:t xml:space="preserve"> </w:t>
            </w:r>
            <w:r w:rsidRPr="00217CFE">
              <w:rPr>
                <w:sz w:val="20"/>
                <w:szCs w:val="20"/>
              </w:rPr>
              <w:t>(bullet points)</w:t>
            </w:r>
          </w:p>
          <w:p w14:paraId="2ECE0F76" w14:textId="77777777" w:rsidR="00287A1C" w:rsidRDefault="00287A1C" w:rsidP="00287A1C">
            <w:pPr>
              <w:pStyle w:val="KeinLeerraum"/>
              <w:numPr>
                <w:ilvl w:val="0"/>
                <w:numId w:val="1"/>
              </w:numPr>
              <w:jc w:val="both"/>
              <w:rPr>
                <w:rFonts w:ascii="Calibri" w:hAnsi="Calibri" w:cs="Calibri"/>
                <w:sz w:val="18"/>
                <w:szCs w:val="18"/>
              </w:rPr>
            </w:pPr>
            <w:r w:rsidRPr="00967448">
              <w:rPr>
                <w:rFonts w:ascii="Calibri" w:hAnsi="Calibri" w:cs="Calibri"/>
                <w:sz w:val="18"/>
                <w:szCs w:val="18"/>
              </w:rPr>
              <w:t>Knowledge; heat transfer with phase change, fluid dynamics, surface processes in reactor relevant conditions</w:t>
            </w:r>
          </w:p>
          <w:p w14:paraId="7FDF7E72" w14:textId="66BAFECE" w:rsidR="00287A1C" w:rsidRPr="00287A1C" w:rsidRDefault="00287A1C" w:rsidP="00287A1C">
            <w:pPr>
              <w:pStyle w:val="KeinLeerraum"/>
              <w:numPr>
                <w:ilvl w:val="0"/>
                <w:numId w:val="1"/>
              </w:numPr>
              <w:jc w:val="both"/>
              <w:rPr>
                <w:rFonts w:ascii="Calibri" w:hAnsi="Calibri" w:cs="Calibri"/>
                <w:sz w:val="18"/>
                <w:szCs w:val="18"/>
              </w:rPr>
            </w:pPr>
            <w:r w:rsidRPr="00287A1C">
              <w:rPr>
                <w:rFonts w:ascii="Calibri" w:hAnsi="Calibri" w:cs="Calibri"/>
                <w:sz w:val="18"/>
                <w:szCs w:val="18"/>
              </w:rPr>
              <w:t xml:space="preserve">Skills; Numerical modelling of </w:t>
            </w:r>
            <w:r w:rsidRPr="00287A1C">
              <w:rPr>
                <w:rFonts w:ascii="Calibri" w:hAnsi="Calibri" w:cs="Calibri"/>
                <w:i/>
                <w:sz w:val="18"/>
                <w:szCs w:val="18"/>
              </w:rPr>
              <w:t>free-surface</w:t>
            </w:r>
            <w:r w:rsidRPr="00287A1C">
              <w:rPr>
                <w:rFonts w:ascii="Calibri" w:hAnsi="Calibri" w:cs="Calibri"/>
                <w:sz w:val="18"/>
                <w:szCs w:val="18"/>
              </w:rPr>
              <w:t xml:space="preserve"> MHD flows with phase transitions</w:t>
            </w:r>
          </w:p>
        </w:tc>
      </w:tr>
      <w:tr w:rsidR="001F791A" w14:paraId="72160303" w14:textId="77777777" w:rsidTr="00297618">
        <w:tc>
          <w:tcPr>
            <w:tcW w:w="2124" w:type="dxa"/>
          </w:tcPr>
          <w:p w14:paraId="167DA957" w14:textId="77777777" w:rsidR="00CF1FFE" w:rsidRPr="00104AA1" w:rsidRDefault="00CF1FFE" w:rsidP="00CF1FFE">
            <w:pPr>
              <w:pStyle w:val="KeinLeerraum"/>
              <w:rPr>
                <w:b/>
                <w:bCs/>
              </w:rPr>
            </w:pPr>
            <w:r w:rsidRPr="00104AA1">
              <w:rPr>
                <w:b/>
                <w:bCs/>
              </w:rPr>
              <w:t>Facilities used</w:t>
            </w:r>
          </w:p>
          <w:p w14:paraId="1836C10A" w14:textId="77777777" w:rsidR="00CF1FFE" w:rsidRPr="00F802DB" w:rsidRDefault="0049235F" w:rsidP="00CF1FFE">
            <w:pPr>
              <w:pStyle w:val="KeinLeerraum"/>
              <w:rPr>
                <w:sz w:val="18"/>
                <w:szCs w:val="18"/>
              </w:rPr>
            </w:pPr>
            <w:r w:rsidRPr="00F802DB">
              <w:rPr>
                <w:sz w:val="18"/>
                <w:szCs w:val="18"/>
              </w:rPr>
              <w:t>Recommended</w:t>
            </w:r>
            <w:r w:rsidR="00F802DB" w:rsidRPr="00F802DB">
              <w:rPr>
                <w:sz w:val="18"/>
                <w:szCs w:val="18"/>
              </w:rPr>
              <w:t xml:space="preserve">, </w:t>
            </w:r>
            <w:r w:rsidRPr="00F802DB">
              <w:rPr>
                <w:sz w:val="18"/>
                <w:szCs w:val="18"/>
              </w:rPr>
              <w:t xml:space="preserve">optional </w:t>
            </w:r>
          </w:p>
          <w:p w14:paraId="6701C96C" w14:textId="4CFE86CC" w:rsidR="00F802DB" w:rsidRPr="00217CFE" w:rsidRDefault="00F802DB" w:rsidP="00CF1FFE">
            <w:pPr>
              <w:pStyle w:val="KeinLeerraum"/>
              <w:rPr>
                <w:sz w:val="20"/>
                <w:szCs w:val="20"/>
              </w:rPr>
            </w:pPr>
            <w:r w:rsidRPr="00F802DB">
              <w:rPr>
                <w:sz w:val="18"/>
                <w:szCs w:val="18"/>
              </w:rPr>
              <w:t>(not strictly required)</w:t>
            </w:r>
          </w:p>
        </w:tc>
        <w:tc>
          <w:tcPr>
            <w:tcW w:w="8786" w:type="dxa"/>
            <w:gridSpan w:val="2"/>
          </w:tcPr>
          <w:p w14:paraId="4A9931BD" w14:textId="18054755" w:rsidR="00CF1FFE" w:rsidRPr="00217CFE" w:rsidRDefault="00B91C0C" w:rsidP="00516AE4">
            <w:pPr>
              <w:pStyle w:val="KeinLeerraum"/>
              <w:rPr>
                <w:sz w:val="20"/>
                <w:szCs w:val="20"/>
              </w:rPr>
            </w:pPr>
            <w:r>
              <w:rPr>
                <w:sz w:val="20"/>
                <w:szCs w:val="20"/>
              </w:rPr>
              <w:t>Benchmark of the code in existing or new exper</w:t>
            </w:r>
            <w:r w:rsidR="00516AE4">
              <w:rPr>
                <w:sz w:val="20"/>
                <w:szCs w:val="20"/>
              </w:rPr>
              <w:t xml:space="preserve">iments performed. Group of fusion facilities under FSD (e.g. AUG, JET, WEST, MAGNUM-PSI). Decision to </w:t>
            </w:r>
            <w:proofErr w:type="gramStart"/>
            <w:r w:rsidR="00516AE4">
              <w:rPr>
                <w:sz w:val="20"/>
                <w:szCs w:val="20"/>
              </w:rPr>
              <w:t>be made</w:t>
            </w:r>
            <w:proofErr w:type="gramEnd"/>
            <w:r w:rsidR="005B0F30">
              <w:rPr>
                <w:sz w:val="20"/>
                <w:szCs w:val="20"/>
              </w:rPr>
              <w:t xml:space="preserve"> depending on timelines</w:t>
            </w:r>
            <w:r w:rsidR="00516AE4">
              <w:rPr>
                <w:sz w:val="20"/>
                <w:szCs w:val="20"/>
              </w:rPr>
              <w:t>.</w:t>
            </w:r>
          </w:p>
        </w:tc>
      </w:tr>
      <w:tr w:rsidR="001F791A" w14:paraId="02E5C4BA" w14:textId="77777777" w:rsidTr="00297618">
        <w:tc>
          <w:tcPr>
            <w:tcW w:w="2124" w:type="dxa"/>
          </w:tcPr>
          <w:p w14:paraId="517E84BF" w14:textId="6E1EB695" w:rsidR="00CF1FFE" w:rsidRPr="00516AE4" w:rsidRDefault="00CF1FFE" w:rsidP="00CF1FFE">
            <w:pPr>
              <w:pStyle w:val="KeinLeerraum"/>
              <w:rPr>
                <w:b/>
                <w:bCs/>
              </w:rPr>
            </w:pPr>
            <w:r w:rsidRPr="00104AA1">
              <w:rPr>
                <w:b/>
                <w:bCs/>
              </w:rPr>
              <w:t>Mobility needs</w:t>
            </w:r>
          </w:p>
        </w:tc>
        <w:tc>
          <w:tcPr>
            <w:tcW w:w="8786" w:type="dxa"/>
            <w:gridSpan w:val="2"/>
          </w:tcPr>
          <w:p w14:paraId="7DB77A8F" w14:textId="28BEE33D" w:rsidR="005B0F30" w:rsidRPr="00217CFE" w:rsidRDefault="005B0F30" w:rsidP="00CF1FFE">
            <w:pPr>
              <w:pStyle w:val="KeinLeerraum"/>
              <w:rPr>
                <w:sz w:val="20"/>
                <w:szCs w:val="20"/>
              </w:rPr>
            </w:pPr>
            <w:r>
              <w:rPr>
                <w:sz w:val="20"/>
                <w:szCs w:val="20"/>
              </w:rPr>
              <w:t xml:space="preserve">Visit to WPDES in </w:t>
            </w:r>
            <w:proofErr w:type="spellStart"/>
            <w:r>
              <w:rPr>
                <w:sz w:val="20"/>
                <w:szCs w:val="20"/>
              </w:rPr>
              <w:t>Garching</w:t>
            </w:r>
            <w:proofErr w:type="spellEnd"/>
            <w:r>
              <w:rPr>
                <w:sz w:val="20"/>
                <w:szCs w:val="20"/>
              </w:rPr>
              <w:t xml:space="preserve"> (1month) and partic</w:t>
            </w:r>
            <w:r w:rsidR="00D135FC">
              <w:rPr>
                <w:sz w:val="20"/>
                <w:szCs w:val="20"/>
              </w:rPr>
              <w:t>ipation in experiments on a</w:t>
            </w:r>
            <w:r>
              <w:rPr>
                <w:sz w:val="20"/>
                <w:szCs w:val="20"/>
              </w:rPr>
              <w:t xml:space="preserve"> EUROfusion facility (</w:t>
            </w:r>
            <w:proofErr w:type="spellStart"/>
            <w:r>
              <w:rPr>
                <w:sz w:val="20"/>
                <w:szCs w:val="20"/>
              </w:rPr>
              <w:t>tbd</w:t>
            </w:r>
            <w:proofErr w:type="spellEnd"/>
            <w:r>
              <w:rPr>
                <w:sz w:val="20"/>
                <w:szCs w:val="20"/>
              </w:rPr>
              <w:t xml:space="preserve">.) </w:t>
            </w:r>
          </w:p>
        </w:tc>
      </w:tr>
      <w:tr w:rsidR="001F791A" w14:paraId="1E175A7A" w14:textId="77777777" w:rsidTr="00297618">
        <w:tc>
          <w:tcPr>
            <w:tcW w:w="2124" w:type="dxa"/>
          </w:tcPr>
          <w:p w14:paraId="4D5E1381" w14:textId="1AE27732" w:rsidR="00CF1FFE" w:rsidRPr="00217CFE" w:rsidRDefault="00CF1FFE" w:rsidP="00516AE4">
            <w:pPr>
              <w:pStyle w:val="KeinLeerraum"/>
              <w:rPr>
                <w:sz w:val="20"/>
                <w:szCs w:val="20"/>
              </w:rPr>
            </w:pPr>
            <w:r w:rsidRPr="00104AA1">
              <w:rPr>
                <w:b/>
                <w:bCs/>
              </w:rPr>
              <w:lastRenderedPageBreak/>
              <w:t xml:space="preserve">Future career </w:t>
            </w:r>
            <w:r w:rsidR="00F2270E">
              <w:rPr>
                <w:b/>
                <w:bCs/>
              </w:rPr>
              <w:t>possibilit</w:t>
            </w:r>
            <w:r w:rsidR="00C15F22">
              <w:rPr>
                <w:b/>
                <w:bCs/>
              </w:rPr>
              <w:t>ies</w:t>
            </w:r>
            <w:r w:rsidR="0071559F" w:rsidRPr="00104AA1">
              <w:rPr>
                <w:b/>
                <w:bCs/>
              </w:rPr>
              <w:t xml:space="preserve"> </w:t>
            </w:r>
          </w:p>
        </w:tc>
        <w:tc>
          <w:tcPr>
            <w:tcW w:w="8786" w:type="dxa"/>
            <w:gridSpan w:val="2"/>
          </w:tcPr>
          <w:p w14:paraId="2D1F1FE5" w14:textId="12F77962" w:rsidR="00CF1FFE" w:rsidRPr="00217CFE" w:rsidRDefault="00532177" w:rsidP="00CF1FFE">
            <w:pPr>
              <w:pStyle w:val="KeinLeerraum"/>
              <w:rPr>
                <w:sz w:val="20"/>
                <w:szCs w:val="20"/>
              </w:rPr>
            </w:pPr>
            <w:r>
              <w:rPr>
                <w:sz w:val="20"/>
                <w:szCs w:val="20"/>
              </w:rPr>
              <w:t xml:space="preserve">There is need and demand for engineers and users in the area of PFC damage analysis in view of lifetime and safety. The candidate will experience both parts computational engineering to create the code as well as application of the code in interpretative or predictive manner. </w:t>
            </w:r>
            <w:r w:rsidR="00ED47C7">
              <w:rPr>
                <w:sz w:val="20"/>
                <w:szCs w:val="20"/>
              </w:rPr>
              <w:t>The capabilities of the engineer include also the “</w:t>
            </w:r>
            <w:proofErr w:type="gramStart"/>
            <w:r w:rsidR="00ED47C7">
              <w:rPr>
                <w:sz w:val="20"/>
                <w:szCs w:val="20"/>
              </w:rPr>
              <w:t>non</w:t>
            </w:r>
            <w:proofErr w:type="gramEnd"/>
            <w:r w:rsidR="00ED47C7">
              <w:rPr>
                <w:sz w:val="20"/>
                <w:szCs w:val="20"/>
              </w:rPr>
              <w:t xml:space="preserve">”-melting case of power handling analysis. Therefore, the candidate has multiple chances for a position in the European or International Fusion Research System. </w:t>
            </w:r>
            <w:bookmarkStart w:id="0" w:name="_GoBack"/>
            <w:bookmarkEnd w:id="0"/>
          </w:p>
        </w:tc>
      </w:tr>
    </w:tbl>
    <w:p w14:paraId="4E54929D" w14:textId="77777777" w:rsidR="00537DFE" w:rsidRDefault="00537DFE" w:rsidP="00096F16">
      <w:pPr>
        <w:pStyle w:val="KeinLeerraum"/>
      </w:pPr>
    </w:p>
    <w:sectPr w:rsidR="00537DFE" w:rsidSect="00217CFE">
      <w:headerReference w:type="default" r:id="rId16"/>
      <w:pgSz w:w="11906" w:h="16838"/>
      <w:pgMar w:top="340" w:right="510" w:bottom="170" w:left="51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2DE86" w14:textId="77777777" w:rsidR="00A61F1A" w:rsidRDefault="00A61F1A" w:rsidP="00537DFE">
      <w:pPr>
        <w:spacing w:after="0" w:line="240" w:lineRule="auto"/>
      </w:pPr>
      <w:r>
        <w:separator/>
      </w:r>
    </w:p>
  </w:endnote>
  <w:endnote w:type="continuationSeparator" w:id="0">
    <w:p w14:paraId="08F26C45" w14:textId="77777777" w:rsidR="00A61F1A" w:rsidRDefault="00A61F1A" w:rsidP="00537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F2E66" w14:textId="77777777" w:rsidR="00A61F1A" w:rsidRDefault="00A61F1A" w:rsidP="00537DFE">
      <w:pPr>
        <w:spacing w:after="0" w:line="240" w:lineRule="auto"/>
      </w:pPr>
      <w:r>
        <w:separator/>
      </w:r>
    </w:p>
  </w:footnote>
  <w:footnote w:type="continuationSeparator" w:id="0">
    <w:p w14:paraId="1E29F309" w14:textId="77777777" w:rsidR="00A61F1A" w:rsidRDefault="00A61F1A" w:rsidP="00537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5539D" w14:textId="30C11264" w:rsidR="00537DFE" w:rsidRPr="00183FDA" w:rsidRDefault="00183FDA">
    <w:pPr>
      <w:pStyle w:val="Kopfzeile"/>
      <w:rPr>
        <w:rFonts w:ascii="Arial" w:hAnsi="Arial" w:cs="Arial"/>
      </w:rPr>
    </w:pPr>
    <w:r w:rsidRPr="00183FDA">
      <w:rPr>
        <w:rFonts w:ascii="Arial" w:hAnsi="Arial" w:cs="Arial"/>
        <w:noProof/>
        <w:lang w:val="de-DE" w:eastAsia="de-DE"/>
      </w:rPr>
      <w:drawing>
        <wp:anchor distT="0" distB="0" distL="114300" distR="114300" simplePos="0" relativeHeight="251658240" behindDoc="0" locked="0" layoutInCell="1" allowOverlap="1" wp14:anchorId="57863362" wp14:editId="64D0EA61">
          <wp:simplePos x="0" y="0"/>
          <wp:positionH relativeFrom="page">
            <wp:posOffset>247650</wp:posOffset>
          </wp:positionH>
          <wp:positionV relativeFrom="paragraph">
            <wp:posOffset>-154305</wp:posOffset>
          </wp:positionV>
          <wp:extent cx="1038225" cy="2857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3822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83FDA">
      <w:rPr>
        <w:rFonts w:ascii="Arial" w:hAnsi="Arial" w:cs="Arial"/>
      </w:rPr>
      <w:ptab w:relativeTo="margin" w:alignment="center" w:leader="none"/>
    </w:r>
    <w:r w:rsidR="006C4449">
      <w:rPr>
        <w:rFonts w:ascii="Arial" w:hAnsi="Arial" w:cs="Arial"/>
      </w:rPr>
      <w:t xml:space="preserve">EUROfusion Engineering Grant </w:t>
    </w:r>
    <w:r w:rsidR="008B1E18">
      <w:rPr>
        <w:rFonts w:ascii="Arial" w:hAnsi="Arial" w:cs="Arial"/>
      </w:rPr>
      <w:t xml:space="preserve">(AWP23) </w:t>
    </w:r>
    <w:r w:rsidR="006C4449">
      <w:rPr>
        <w:rFonts w:ascii="Arial" w:hAnsi="Arial" w:cs="Arial"/>
      </w:rPr>
      <w:t>– Project Template</w:t>
    </w:r>
    <w:r w:rsidRPr="00183FDA">
      <w:rPr>
        <w:rFonts w:ascii="Arial" w:hAnsi="Arial" w:cs="Arial"/>
      </w:rPr>
      <w:ptab w:relativeTo="margin" w:alignment="right" w:leader="none"/>
    </w:r>
    <w:r w:rsidR="006C4449">
      <w:rPr>
        <w:rFonts w:ascii="Arial" w:hAnsi="Arial" w:cs="Arial"/>
      </w:rPr>
      <w:t>v</w:t>
    </w:r>
    <w:r w:rsidR="000F3B4C">
      <w:rPr>
        <w:rFonts w:ascii="Arial" w:hAnsi="Arial" w:cs="Arial"/>
      </w:rPr>
      <w:t>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7859508"/>
    <w:multiLevelType w:val="hybridMultilevel"/>
    <w:tmpl w:val="63607A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DB2191"/>
    <w:multiLevelType w:val="hybridMultilevel"/>
    <w:tmpl w:val="C274673E"/>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2E117AA"/>
    <w:multiLevelType w:val="hybridMultilevel"/>
    <w:tmpl w:val="12324808"/>
    <w:lvl w:ilvl="0" w:tplc="0C00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6611AF5"/>
    <w:multiLevelType w:val="hybridMultilevel"/>
    <w:tmpl w:val="CF465970"/>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70B7B11"/>
    <w:multiLevelType w:val="hybridMultilevel"/>
    <w:tmpl w:val="FCF4E644"/>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8D6"/>
    <w:rsid w:val="0003795F"/>
    <w:rsid w:val="000539D2"/>
    <w:rsid w:val="00070DAB"/>
    <w:rsid w:val="0007101B"/>
    <w:rsid w:val="00094FCB"/>
    <w:rsid w:val="00096F16"/>
    <w:rsid w:val="000D0FA1"/>
    <w:rsid w:val="000E1D22"/>
    <w:rsid w:val="000E6E49"/>
    <w:rsid w:val="000F3B4C"/>
    <w:rsid w:val="00104AA1"/>
    <w:rsid w:val="001426E3"/>
    <w:rsid w:val="00165B62"/>
    <w:rsid w:val="00183FDA"/>
    <w:rsid w:val="001D2819"/>
    <w:rsid w:val="001E5F37"/>
    <w:rsid w:val="001F791A"/>
    <w:rsid w:val="0020591A"/>
    <w:rsid w:val="00217CFE"/>
    <w:rsid w:val="0023117F"/>
    <w:rsid w:val="0023306E"/>
    <w:rsid w:val="0026127C"/>
    <w:rsid w:val="00263880"/>
    <w:rsid w:val="00287A1C"/>
    <w:rsid w:val="00297618"/>
    <w:rsid w:val="00302887"/>
    <w:rsid w:val="003118B8"/>
    <w:rsid w:val="00364C60"/>
    <w:rsid w:val="00366560"/>
    <w:rsid w:val="003939E3"/>
    <w:rsid w:val="003C1FA1"/>
    <w:rsid w:val="00406458"/>
    <w:rsid w:val="0042150C"/>
    <w:rsid w:val="00435116"/>
    <w:rsid w:val="00446E4F"/>
    <w:rsid w:val="00452FE1"/>
    <w:rsid w:val="00481F7B"/>
    <w:rsid w:val="0049235F"/>
    <w:rsid w:val="00494E25"/>
    <w:rsid w:val="004A0917"/>
    <w:rsid w:val="004B2A7D"/>
    <w:rsid w:val="004C0B20"/>
    <w:rsid w:val="004E6F5A"/>
    <w:rsid w:val="00516AE4"/>
    <w:rsid w:val="00532177"/>
    <w:rsid w:val="00537DFE"/>
    <w:rsid w:val="00550C0A"/>
    <w:rsid w:val="005948C9"/>
    <w:rsid w:val="005A1118"/>
    <w:rsid w:val="005B0F30"/>
    <w:rsid w:val="0060635F"/>
    <w:rsid w:val="00625D1C"/>
    <w:rsid w:val="006632E5"/>
    <w:rsid w:val="00692CD5"/>
    <w:rsid w:val="006B3F60"/>
    <w:rsid w:val="006C4449"/>
    <w:rsid w:val="006E7E2D"/>
    <w:rsid w:val="0071559F"/>
    <w:rsid w:val="007314E2"/>
    <w:rsid w:val="0073693B"/>
    <w:rsid w:val="007670BE"/>
    <w:rsid w:val="00784398"/>
    <w:rsid w:val="007867A5"/>
    <w:rsid w:val="00791C84"/>
    <w:rsid w:val="007B1286"/>
    <w:rsid w:val="007B1B3D"/>
    <w:rsid w:val="007F133C"/>
    <w:rsid w:val="0082151A"/>
    <w:rsid w:val="00892A54"/>
    <w:rsid w:val="008A64C3"/>
    <w:rsid w:val="008B1E18"/>
    <w:rsid w:val="008B4640"/>
    <w:rsid w:val="00915DEC"/>
    <w:rsid w:val="00952F51"/>
    <w:rsid w:val="00976179"/>
    <w:rsid w:val="00A136F6"/>
    <w:rsid w:val="00A42955"/>
    <w:rsid w:val="00A61F1A"/>
    <w:rsid w:val="00A72F91"/>
    <w:rsid w:val="00AA6EEB"/>
    <w:rsid w:val="00B91C0C"/>
    <w:rsid w:val="00B91DF9"/>
    <w:rsid w:val="00BB30C8"/>
    <w:rsid w:val="00BC0661"/>
    <w:rsid w:val="00BC3BDD"/>
    <w:rsid w:val="00BE63B8"/>
    <w:rsid w:val="00C15F22"/>
    <w:rsid w:val="00C1759D"/>
    <w:rsid w:val="00C86AA2"/>
    <w:rsid w:val="00C97DA1"/>
    <w:rsid w:val="00CB5F74"/>
    <w:rsid w:val="00CD6B4C"/>
    <w:rsid w:val="00CF1FFE"/>
    <w:rsid w:val="00D135FC"/>
    <w:rsid w:val="00D878D6"/>
    <w:rsid w:val="00E22416"/>
    <w:rsid w:val="00E8702D"/>
    <w:rsid w:val="00EA0318"/>
    <w:rsid w:val="00EB7116"/>
    <w:rsid w:val="00EC4C9D"/>
    <w:rsid w:val="00EC6C0B"/>
    <w:rsid w:val="00ED47C7"/>
    <w:rsid w:val="00ED7A39"/>
    <w:rsid w:val="00F120E0"/>
    <w:rsid w:val="00F2270E"/>
    <w:rsid w:val="00F32906"/>
    <w:rsid w:val="00F33A27"/>
    <w:rsid w:val="00F42D9F"/>
    <w:rsid w:val="00F802DB"/>
    <w:rsid w:val="00F95284"/>
    <w:rsid w:val="00FB4703"/>
    <w:rsid w:val="00FF690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5B497"/>
  <w15:chartTrackingRefBased/>
  <w15:docId w15:val="{FFBB39AD-B794-4915-9DFD-04C9CB5B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37D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7DFE"/>
    <w:rPr>
      <w:lang w:val="en-GB"/>
    </w:rPr>
  </w:style>
  <w:style w:type="paragraph" w:styleId="Fuzeile">
    <w:name w:val="footer"/>
    <w:basedOn w:val="Standard"/>
    <w:link w:val="FuzeileZchn"/>
    <w:uiPriority w:val="99"/>
    <w:unhideWhenUsed/>
    <w:rsid w:val="00537D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7DFE"/>
    <w:rPr>
      <w:lang w:val="en-GB"/>
    </w:rPr>
  </w:style>
  <w:style w:type="character" w:styleId="Platzhaltertext">
    <w:name w:val="Placeholder Text"/>
    <w:basedOn w:val="Absatz-Standardschriftart"/>
    <w:uiPriority w:val="99"/>
    <w:semiHidden/>
    <w:rsid w:val="00183FDA"/>
    <w:rPr>
      <w:color w:val="808080"/>
    </w:rPr>
  </w:style>
  <w:style w:type="paragraph" w:styleId="Titel">
    <w:name w:val="Title"/>
    <w:basedOn w:val="Standard"/>
    <w:next w:val="Standard"/>
    <w:link w:val="TitelZchn"/>
    <w:uiPriority w:val="10"/>
    <w:qFormat/>
    <w:rsid w:val="00183F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83FDA"/>
    <w:rPr>
      <w:rFonts w:asciiTheme="majorHAnsi" w:eastAsiaTheme="majorEastAsia" w:hAnsiTheme="majorHAnsi" w:cstheme="majorBidi"/>
      <w:spacing w:val="-10"/>
      <w:kern w:val="28"/>
      <w:sz w:val="56"/>
      <w:szCs w:val="56"/>
      <w:lang w:val="en-GB"/>
    </w:rPr>
  </w:style>
  <w:style w:type="table" w:styleId="Tabellenraster">
    <w:name w:val="Table Grid"/>
    <w:basedOn w:val="NormaleTabelle"/>
    <w:uiPriority w:val="39"/>
    <w:rsid w:val="006C4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6C4449"/>
    <w:pPr>
      <w:spacing w:after="0" w:line="240" w:lineRule="auto"/>
    </w:pPr>
  </w:style>
  <w:style w:type="paragraph" w:customStyle="1" w:styleId="Default">
    <w:name w:val="Default"/>
    <w:rsid w:val="003C1FA1"/>
    <w:pPr>
      <w:autoSpaceDE w:val="0"/>
      <w:autoSpaceDN w:val="0"/>
      <w:adjustRightInd w:val="0"/>
      <w:spacing w:after="0" w:line="240" w:lineRule="auto"/>
    </w:pPr>
    <w:rPr>
      <w:rFonts w:ascii="Arial" w:hAnsi="Arial" w:cs="Arial"/>
      <w:color w:val="000000"/>
      <w:sz w:val="24"/>
      <w:szCs w:val="24"/>
      <w:lang w:val="sv-SE"/>
    </w:rPr>
  </w:style>
  <w:style w:type="character" w:styleId="Hyperlink">
    <w:name w:val="Hyperlink"/>
    <w:basedOn w:val="Absatz-Standardschriftart"/>
    <w:uiPriority w:val="99"/>
    <w:unhideWhenUsed/>
    <w:rsid w:val="0003795F"/>
    <w:rPr>
      <w:color w:val="0563C1" w:themeColor="hyperlink"/>
      <w:u w:val="single"/>
    </w:rPr>
  </w:style>
  <w:style w:type="character" w:customStyle="1" w:styleId="markedcontent">
    <w:name w:val="markedcontent"/>
    <w:basedOn w:val="Absatz-Standardschriftart"/>
    <w:rsid w:val="00287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opscience.iop.org/article/10.1088/1402-4896/ac1cf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opscience.iop.org/article/10.1088/1741-4326/abada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opscience.iop.org/article/10.1088/1361-6587/abd838" TargetMode="External"/><Relationship Id="rId5" Type="http://schemas.openxmlformats.org/officeDocument/2006/relationships/numbering" Target="numbering.xml"/><Relationship Id="rId15" Type="http://schemas.openxmlformats.org/officeDocument/2006/relationships/hyperlink" Target="https://amrex-codes.github.io/amre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opscience.iop.org/article/10.1088/1741-4326/ac38c7/meta"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8224F.61A0846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4E16888851254EA4B58A6035125B1A" ma:contentTypeVersion="6" ma:contentTypeDescription="Create a new document." ma:contentTypeScope="" ma:versionID="0f96be627a7e184fa02c69b5fc55b049">
  <xsd:schema xmlns:xsd="http://www.w3.org/2001/XMLSchema" xmlns:xs="http://www.w3.org/2001/XMLSchema" xmlns:p="http://schemas.microsoft.com/office/2006/metadata/properties" xmlns:ns2="30e40da3-19d8-43ad-93b6-443f79201276" xmlns:ns3="846f1671-67d4-4b70-9f09-d4a1c09db751" targetNamespace="http://schemas.microsoft.com/office/2006/metadata/properties" ma:root="true" ma:fieldsID="e1c5db6c44f1427a8ba45bfdf2361e74" ns2:_="" ns3:_="">
    <xsd:import namespace="30e40da3-19d8-43ad-93b6-443f79201276"/>
    <xsd:import namespace="846f1671-67d4-4b70-9f09-d4a1c09db7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40da3-19d8-43ad-93b6-443f792012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6f1671-67d4-4b70-9f09-d4a1c09db7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AFCB1-148C-48AF-B414-FB6EF84151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FE8AB6-69FE-42B0-9ED4-876EE08660AE}">
  <ds:schemaRefs>
    <ds:schemaRef ds:uri="http://schemas.microsoft.com/sharepoint/v3/contenttype/forms"/>
  </ds:schemaRefs>
</ds:datastoreItem>
</file>

<file path=customXml/itemProps3.xml><?xml version="1.0" encoding="utf-8"?>
<ds:datastoreItem xmlns:ds="http://schemas.openxmlformats.org/officeDocument/2006/customXml" ds:itemID="{AECEB98F-975D-4B3F-A6F4-523F2C106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40da3-19d8-43ad-93b6-443f79201276"/>
    <ds:schemaRef ds:uri="846f1671-67d4-4b70-9f09-d4a1c09db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3991DF-F666-4D43-A323-39609C8E7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4710</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Lange</dc:creator>
  <cp:keywords/>
  <dc:description/>
  <cp:lastModifiedBy>Brezinsek</cp:lastModifiedBy>
  <cp:revision>4</cp:revision>
  <dcterms:created xsi:type="dcterms:W3CDTF">2022-04-28T18:16:00Z</dcterms:created>
  <dcterms:modified xsi:type="dcterms:W3CDTF">2022-05-01T12:59:00Z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0x0101005B4E16888851254EA4B58A6035125B1A</vt:lpwstr>
  </property>
</Properties>
</file>