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5F3295" w:rsidRPr="004F3622" w14:paraId="48F6BE5F" w14:textId="77777777" w:rsidTr="001455A9">
        <w:tc>
          <w:tcPr>
            <w:tcW w:w="1860" w:type="dxa"/>
          </w:tcPr>
          <w:p w14:paraId="472A2AF6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68A08E80" w14:textId="77777777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</w:pPr>
            <w:r w:rsidRPr="005F3295"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  <w:t xml:space="preserve">SP-ADC / </w:t>
            </w:r>
          </w:p>
          <w:p w14:paraId="37BEF217" w14:textId="7287C2C0" w:rsidR="005F3295" w:rsidRPr="000A398F" w:rsidRDefault="005F3295" w:rsidP="005F329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31CDF">
              <w:rPr>
                <w:rFonts w:eastAsia="Times New Roman" w:cstheme="minorHAnsi"/>
                <w:i/>
                <w:color w:val="000000"/>
                <w:lang w:val="en-GB"/>
              </w:rPr>
              <w:t>Advanced Divertor Solutions for Power Exhaust in DEMO</w:t>
            </w:r>
          </w:p>
        </w:tc>
        <w:tc>
          <w:tcPr>
            <w:tcW w:w="1560" w:type="dxa"/>
            <w:gridSpan w:val="3"/>
          </w:tcPr>
          <w:p w14:paraId="335A2436" w14:textId="0B4B222A" w:rsidR="005F3295" w:rsidRPr="00263973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2678EE87" w:rsidR="005F3295" w:rsidRPr="004F3622" w:rsidRDefault="005F3295" w:rsidP="005F329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cstheme="minorHAnsi"/>
                <w:color w:val="000000"/>
              </w:rPr>
              <w:t xml:space="preserve">PWIE-SP </w:t>
            </w:r>
            <w:proofErr w:type="gramStart"/>
            <w:r>
              <w:rPr>
                <w:rFonts w:cstheme="minorHAnsi"/>
                <w:color w:val="000000"/>
              </w:rPr>
              <w:t>ADC.</w:t>
            </w:r>
            <w:r w:rsidR="00DD7C39">
              <w:rPr>
                <w:rFonts w:cstheme="minorHAnsi"/>
                <w:color w:val="000000"/>
              </w:rPr>
              <w:t>H</w:t>
            </w:r>
            <w:r w:rsidRPr="00831CDF">
              <w:rPr>
                <w:rFonts w:cstheme="minorHAnsi"/>
                <w:color w:val="000000"/>
              </w:rPr>
              <w:t>.T</w:t>
            </w:r>
            <w:proofErr w:type="gramEnd"/>
            <w:r w:rsidRPr="00831CDF">
              <w:rPr>
                <w:rFonts w:cstheme="minorHAnsi"/>
                <w:color w:val="000000"/>
              </w:rPr>
              <w:t>-T00</w:t>
            </w:r>
            <w:r>
              <w:rPr>
                <w:rFonts w:cstheme="minorHAnsi"/>
                <w:color w:val="000000"/>
              </w:rPr>
              <w:t>2-D00</w:t>
            </w:r>
            <w:r w:rsidR="006B09AA">
              <w:rPr>
                <w:rFonts w:cstheme="minorHAnsi"/>
                <w:color w:val="000000"/>
              </w:rPr>
              <w:t>1/D002/D003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3A24842B" w14:textId="53154984" w:rsidR="006B09AA" w:rsidRPr="006B09AA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nl-NL" w:eastAsia="en-GB"/>
              </w:rPr>
            </w:pPr>
            <w:r w:rsidRPr="00831CDF">
              <w:rPr>
                <w:rFonts w:cstheme="minorHAnsi"/>
                <w:bCs/>
                <w:spacing w:val="-3"/>
                <w:lang w:val="en-GB" w:eastAsia="en-GB"/>
              </w:rPr>
              <w:t>R. Ambrosino</w:t>
            </w:r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/ </w:t>
            </w:r>
            <w:r w:rsidRPr="00831CDF">
              <w:rPr>
                <w:rFonts w:cstheme="minorHAnsi"/>
                <w:bCs/>
                <w:spacing w:val="-3"/>
                <w:lang w:val="nl-NL" w:eastAsia="en-GB"/>
              </w:rPr>
              <w:t xml:space="preserve">G. Ramogida </w:t>
            </w:r>
            <w:r>
              <w:rPr>
                <w:rFonts w:cstheme="minorHAnsi"/>
                <w:bCs/>
                <w:spacing w:val="-3"/>
                <w:lang w:val="nl-NL" w:eastAsia="en-GB"/>
              </w:rPr>
              <w:t xml:space="preserve">/ </w:t>
            </w:r>
            <w:r w:rsidRPr="00831CDF">
              <w:rPr>
                <w:rFonts w:cstheme="minorHAnsi"/>
                <w:bCs/>
                <w:spacing w:val="-3"/>
                <w:lang w:val="it-IT" w:eastAsia="en-GB"/>
              </w:rPr>
              <w:t xml:space="preserve">R. </w:t>
            </w:r>
            <w:proofErr w:type="gramStart"/>
            <w:r w:rsidRPr="00831CDF">
              <w:rPr>
                <w:rFonts w:cstheme="minorHAnsi"/>
                <w:bCs/>
                <w:spacing w:val="-3"/>
                <w:lang w:val="it-IT" w:eastAsia="en-GB"/>
              </w:rPr>
              <w:t xml:space="preserve">Lombroni  </w:t>
            </w:r>
            <w:r>
              <w:rPr>
                <w:rFonts w:cstheme="minorHAnsi"/>
                <w:bCs/>
                <w:spacing w:val="-3"/>
                <w:lang w:val="it-IT" w:eastAsia="en-GB"/>
              </w:rPr>
              <w:t>(</w:t>
            </w:r>
            <w:proofErr w:type="gramEnd"/>
            <w:r>
              <w:rPr>
                <w:rFonts w:cstheme="minorHAnsi"/>
                <w:bCs/>
                <w:spacing w:val="-3"/>
                <w:lang w:val="it-IT" w:eastAsia="en-GB"/>
              </w:rPr>
              <w:t>ENEA)</w:t>
            </w:r>
          </w:p>
          <w:p w14:paraId="74D93CF9" w14:textId="1D2C158A" w:rsidR="0024374C" w:rsidRPr="006B09AA" w:rsidRDefault="0024374C" w:rsidP="00DD10B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it-IT" w:eastAsia="en-GB"/>
              </w:rPr>
            </w:pP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5F3295" w:rsidRPr="00DD7C39" w14:paraId="7002C624" w14:textId="77777777" w:rsidTr="001455A9">
        <w:tc>
          <w:tcPr>
            <w:tcW w:w="1860" w:type="dxa"/>
          </w:tcPr>
          <w:p w14:paraId="4EEEC8FE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6D355B0" w14:textId="77777777" w:rsidR="005F3295" w:rsidRPr="00831CDF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S. Brezinsek (FZJ)</w:t>
            </w:r>
          </w:p>
          <w:p w14:paraId="10F12EAC" w14:textId="248B4B7B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G. Calabrò (ENEA)</w:t>
            </w:r>
          </w:p>
        </w:tc>
        <w:tc>
          <w:tcPr>
            <w:tcW w:w="1560" w:type="dxa"/>
            <w:gridSpan w:val="3"/>
          </w:tcPr>
          <w:p w14:paraId="0F9847DE" w14:textId="3668CDD8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6B09AA" w:rsidRPr="00DD7C39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6B09AA" w:rsidRPr="00263973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45F6B2ED" w:rsidR="006B09AA" w:rsidRPr="00263973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B09AA">
              <w:rPr>
                <w:rFonts w:eastAsia="Times New Roman" w:cstheme="minorHAnsi"/>
                <w:iCs/>
                <w:color w:val="000000" w:themeColor="text1"/>
                <w:spacing w:val="-3"/>
                <w:lang w:val="en-US" w:eastAsia="en-GB"/>
              </w:rPr>
              <w:t xml:space="preserve">SP-ADC.H / </w:t>
            </w:r>
            <w:r w:rsidRPr="00BB3689">
              <w:rPr>
                <w:rFonts w:eastAsia="Times New Roman" w:cstheme="minorHAnsi"/>
                <w:color w:val="000000" w:themeColor="text1"/>
                <w:lang w:val="en-GB"/>
              </w:rPr>
              <w:t xml:space="preserve">Engineering boundary conditions related to DTT as ADC </w:t>
            </w:r>
            <w:proofErr w:type="gramStart"/>
            <w:r w:rsidRPr="00BB3689">
              <w:rPr>
                <w:rFonts w:eastAsia="Times New Roman" w:cstheme="minorHAnsi"/>
                <w:color w:val="000000" w:themeColor="text1"/>
                <w:lang w:val="en-GB"/>
              </w:rPr>
              <w:t>test-bed</w:t>
            </w:r>
            <w:proofErr w:type="gramEnd"/>
          </w:p>
        </w:tc>
      </w:tr>
      <w:tr w:rsidR="0024374C" w:rsidRPr="00DD7C39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1FC163F" w14:textId="77777777" w:rsidR="006B09AA" w:rsidRPr="00831CDF" w:rsidRDefault="006B09AA" w:rsidP="006B09A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spacing w:val="-3"/>
                <w:lang w:val="en-US" w:eastAsia="en-GB"/>
              </w:rPr>
            </w:pPr>
            <w:r w:rsidRPr="00831CDF">
              <w:rPr>
                <w:rFonts w:cstheme="minorHAnsi"/>
                <w:spacing w:val="-3"/>
                <w:lang w:val="en-GB" w:eastAsia="en-GB"/>
              </w:rPr>
              <w:t xml:space="preserve">Engineering compatibility of </w:t>
            </w:r>
            <w:r w:rsidRPr="00831CDF">
              <w:rPr>
                <w:rFonts w:cstheme="minorHAnsi"/>
                <w:lang w:val="en-GB"/>
              </w:rPr>
              <w:t>best promising configurations described in WP ADC-DTT’s final report for DTT facility: recommendations for control and equilibria design (ENEA)</w:t>
            </w:r>
          </w:p>
          <w:p w14:paraId="4DAEC50F" w14:textId="77777777" w:rsidR="006B09AA" w:rsidRPr="00831CDF" w:rsidRDefault="006B09AA" w:rsidP="006B09A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/>
                <w:spacing w:val="-3"/>
                <w:lang w:val="en-US" w:eastAsia="en-GB"/>
              </w:rPr>
            </w:pPr>
            <w:r w:rsidRPr="00831CDF">
              <w:rPr>
                <w:rFonts w:cstheme="minorHAnsi"/>
                <w:spacing w:val="-3"/>
                <w:lang w:val="en-GB" w:eastAsia="en-GB"/>
              </w:rPr>
              <w:t xml:space="preserve">Engineering compatibility of </w:t>
            </w:r>
            <w:r w:rsidRPr="00831CDF">
              <w:rPr>
                <w:rFonts w:cstheme="minorHAnsi"/>
                <w:lang w:val="en-GB"/>
              </w:rPr>
              <w:t>best promising configurations described in WP ADC-DTT’s final report for DTT facility: recommendations for VDE and disruption consequences (ENEA)</w:t>
            </w:r>
          </w:p>
          <w:p w14:paraId="0C1108C0" w14:textId="31EC6F30" w:rsidR="0024374C" w:rsidRPr="00E958BE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DD7C39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015B882F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F843144" w14:textId="7D62CE66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2951C72" w14:textId="77777777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6B09AA" w:rsidRPr="00DD7C39" w14:paraId="46690D7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758D827" w14:textId="36633E2C" w:rsidR="006B09AA" w:rsidRPr="00167463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Calibri" w:cstheme="minorHAnsi"/>
                <w:color w:val="000000"/>
                <w:lang w:val="en-GB"/>
              </w:rPr>
              <w:t>The SP-ADC are addressing the physics work regarding the advanced divertor solutions for DEMO and the compatibility with engineering constraints.</w:t>
            </w:r>
            <w:r w:rsidRPr="006B09AA">
              <w:rPr>
                <w:rFonts w:eastAsia="Calibri" w:cstheme="minorHAnsi"/>
                <w:lang w:val="en-US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The engineering part focus on the compatibility with DEMO constraints in view of configurations, stability, and thermomechanical and electromagnetic loads; the work is coordinated with the FTD. Compatibility of potential DEMO ADC solutions with DTT will be also investigated.  </w:t>
            </w:r>
            <w:r w:rsidRPr="006B09AA">
              <w:rPr>
                <w:rFonts w:eastAsia="Calibri" w:cstheme="minorHAnsi"/>
                <w:lang w:val="en-US"/>
              </w:rPr>
              <w:t xml:space="preserve">Subproject SP-ADC.H will </w:t>
            </w:r>
            <w:r w:rsidRPr="006B09AA">
              <w:rPr>
                <w:rFonts w:eastAsia="Calibri" w:cstheme="minorHAnsi"/>
                <w:color w:val="000000"/>
                <w:lang w:val="en-US" w:eastAsia="en-GB"/>
              </w:rPr>
              <w:t>explore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 </w:t>
            </w:r>
            <w:r w:rsidRPr="006B09AA">
              <w:rPr>
                <w:rFonts w:eastAsia="Calibri" w:cstheme="minorHAnsi"/>
                <w:color w:val="000000"/>
                <w:lang w:val="en-US" w:eastAsia="en-GB"/>
              </w:rPr>
              <w:t xml:space="preserve">engineering DTT compatibility exploitation for ADC configurations. Assessment of controllability of ADC configuration, in connection with WPs DES and DIV, </w:t>
            </w:r>
            <w:proofErr w:type="gramStart"/>
            <w:r w:rsidRPr="006B09AA">
              <w:rPr>
                <w:rFonts w:eastAsia="Calibri" w:cstheme="minorHAnsi"/>
                <w:color w:val="000000"/>
                <w:lang w:val="en-US" w:eastAsia="en-GB"/>
              </w:rPr>
              <w:t>taking into account</w:t>
            </w:r>
            <w:proofErr w:type="gramEnd"/>
            <w:r w:rsidRPr="006B09AA">
              <w:rPr>
                <w:rFonts w:eastAsia="Calibri" w:cstheme="minorHAnsi"/>
                <w:color w:val="000000"/>
                <w:lang w:val="en-US" w:eastAsia="en-GB"/>
              </w:rPr>
              <w:t xml:space="preserve"> engineering constrains will be investigated.</w:t>
            </w:r>
          </w:p>
        </w:tc>
      </w:tr>
      <w:tr w:rsidR="006B09AA" w:rsidRPr="00DD7C39" w14:paraId="7C3AA86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0FD39E65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>Inputs required:</w:t>
            </w: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ab/>
            </w:r>
          </w:p>
          <w:p w14:paraId="4470459C" w14:textId="77777777" w:rsidR="006B09AA" w:rsidRPr="00831CDF" w:rsidRDefault="006B09AA" w:rsidP="006B09AA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DEMO ADC equilibria configurations (delivered by </w:t>
            </w:r>
            <w:r w:rsidRPr="00831CDF">
              <w:rPr>
                <w:rFonts w:eastAsia="Times New Roman" w:cstheme="minorHAnsi"/>
                <w:lang w:val="en-GB"/>
              </w:rPr>
              <w:t>WP ADC-DTT’s final report)</w:t>
            </w:r>
          </w:p>
          <w:p w14:paraId="1F0ACBD7" w14:textId="222B3F00" w:rsidR="006B09AA" w:rsidRPr="00831CDF" w:rsidRDefault="006B09AA" w:rsidP="006B0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lang w:val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Recommendations for engineering aspects of DEMO VS control (delivered by </w:t>
            </w:r>
            <w:r w:rsidRPr="00831CDF">
              <w:rPr>
                <w:rFonts w:eastAsia="Times New Roman" w:cstheme="minorHAnsi"/>
                <w:lang w:val="en-GB"/>
              </w:rPr>
              <w:t>WP ADC-DTT’s final report and WP PMI 2020 reports, in particular KDII#3 final report)</w:t>
            </w:r>
          </w:p>
        </w:tc>
      </w:tr>
      <w:tr w:rsidR="006B09AA" w:rsidRPr="00DD7C39" w14:paraId="6C2323E3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66079FE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Tasks to be performed:</w:t>
            </w:r>
          </w:p>
          <w:p w14:paraId="793472C0" w14:textId="0E34BB73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lang w:val="en-GB"/>
              </w:rPr>
              <w:t xml:space="preserve">Engineering boundary conditions related to DTT as ADC </w:t>
            </w:r>
            <w:proofErr w:type="gramStart"/>
            <w:r w:rsidRPr="00831CDF">
              <w:rPr>
                <w:rFonts w:eastAsia="Times New Roman" w:cstheme="minorHAnsi"/>
                <w:lang w:val="en-GB"/>
              </w:rPr>
              <w:t>test-bed</w:t>
            </w:r>
            <w:proofErr w:type="gramEnd"/>
            <w:r w:rsidRPr="00831CDF">
              <w:rPr>
                <w:rFonts w:eastAsia="Times New Roman" w:cstheme="minorHAnsi"/>
                <w:lang w:val="en-GB"/>
              </w:rPr>
              <w:t xml:space="preserve"> (i.e. best promising configurations described in WP ADC-DTT’s final report)</w:t>
            </w:r>
          </w:p>
        </w:tc>
      </w:tr>
      <w:tr w:rsidR="006B09AA" w:rsidRPr="00DD7C39" w14:paraId="28CF7ECC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807EAC5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6B09AA" w:rsidRPr="00831CDF" w14:paraId="5652ACBC" w14:textId="77777777" w:rsidTr="000D159E">
              <w:tc>
                <w:tcPr>
                  <w:tcW w:w="1576" w:type="dxa"/>
                </w:tcPr>
                <w:p w14:paraId="02C63FB1" w14:textId="77777777" w:rsidR="006B09AA" w:rsidRPr="002837C5" w:rsidRDefault="006B09AA" w:rsidP="006B09AA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i/>
                      <w:spacing w:val="-3"/>
                      <w:lang w:eastAsia="en-GB"/>
                    </w:rPr>
                  </w:pPr>
                  <w:r w:rsidRPr="002837C5">
                    <w:rPr>
                      <w:rFonts w:asciiTheme="minorHAnsi" w:hAnsiTheme="minorHAnsi" w:cstheme="minorHAnsi"/>
                      <w:i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0A861EA7" w14:textId="77777777" w:rsidR="006B09AA" w:rsidRPr="002837C5" w:rsidRDefault="006B09AA" w:rsidP="006B09AA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i/>
                      <w:spacing w:val="-3"/>
                      <w:lang w:eastAsia="en-GB"/>
                    </w:rPr>
                  </w:pPr>
                  <w:r w:rsidRPr="002837C5">
                    <w:rPr>
                      <w:rFonts w:asciiTheme="minorHAnsi" w:hAnsiTheme="minorHAnsi" w:cstheme="minorHAnsi"/>
                      <w:i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6B09AA" w:rsidRPr="00DD7C39" w14:paraId="282201A3" w14:textId="77777777" w:rsidTr="000D159E">
              <w:tc>
                <w:tcPr>
                  <w:tcW w:w="1576" w:type="dxa"/>
                </w:tcPr>
                <w:p w14:paraId="3CB97E61" w14:textId="77777777" w:rsidR="006B09AA" w:rsidRPr="00831CDF" w:rsidRDefault="006B09AA" w:rsidP="006B09AA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FF0000"/>
                      <w:spacing w:val="-3"/>
                      <w:lang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D001,</w:t>
                  </w:r>
                  <w:r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 xml:space="preserve"> </w:t>
                  </w: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333234D8" w14:textId="77777777" w:rsidR="006B09AA" w:rsidRPr="00831CDF" w:rsidRDefault="006B09AA" w:rsidP="006B09AA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spacing w:val="-3"/>
                      <w:lang w:val="en-US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spacing w:val="-3"/>
                      <w:lang w:val="en-GB" w:eastAsia="en-GB"/>
                    </w:rPr>
                    <w:t xml:space="preserve">Engineering compatibility of </w:t>
                  </w:r>
                  <w:r w:rsidRPr="00831CDF">
                    <w:rPr>
                      <w:rFonts w:asciiTheme="minorHAnsi" w:hAnsiTheme="minorHAnsi" w:cstheme="minorHAnsi"/>
                      <w:lang w:val="en-GB"/>
                    </w:rPr>
                    <w:t>best promising configurations described in WP ADC-DTT’s final report for DTT facility: recommendations for control and equilibria design (ENEA)</w:t>
                  </w:r>
                </w:p>
              </w:tc>
            </w:tr>
            <w:tr w:rsidR="006B09AA" w:rsidRPr="00DD7C39" w14:paraId="37F2F8F6" w14:textId="77777777" w:rsidTr="000D159E">
              <w:tc>
                <w:tcPr>
                  <w:tcW w:w="1576" w:type="dxa"/>
                </w:tcPr>
                <w:p w14:paraId="3BA58269" w14:textId="77777777" w:rsidR="006B09AA" w:rsidRPr="00831CDF" w:rsidRDefault="006B09AA" w:rsidP="006B09AA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5788D8D3" w14:textId="77777777" w:rsidR="006B09AA" w:rsidRPr="00831CDF" w:rsidRDefault="006B09AA" w:rsidP="006B09AA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/>
                      <w:spacing w:val="-3"/>
                      <w:lang w:val="en-US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spacing w:val="-3"/>
                      <w:lang w:val="en-GB" w:eastAsia="en-GB"/>
                    </w:rPr>
                    <w:t xml:space="preserve">Engineering compatibility of </w:t>
                  </w:r>
                  <w:r w:rsidRPr="00831CDF">
                    <w:rPr>
                      <w:rFonts w:asciiTheme="minorHAnsi" w:hAnsiTheme="minorHAnsi" w:cstheme="minorHAnsi"/>
                      <w:lang w:val="en-GB"/>
                    </w:rPr>
                    <w:t>best promising configurations described in WP ADC-DTT’s final report for DTT facility: recommendations for VDE and disruption consequences (ENEA)</w:t>
                  </w:r>
                </w:p>
              </w:tc>
            </w:tr>
          </w:tbl>
          <w:p w14:paraId="173D616E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</w:p>
        </w:tc>
      </w:tr>
      <w:tr w:rsidR="006B09AA" w:rsidRPr="00DD7C39" w14:paraId="74FA1D5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0372373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Management Information</w:t>
            </w:r>
          </w:p>
          <w:p w14:paraId="4E57C51F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 xml:space="preserve">Human Resources 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(</w:t>
            </w: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2022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)</w:t>
            </w:r>
            <w:r w:rsidRPr="00831CDF">
              <w:rPr>
                <w:rFonts w:eastAsia="Times New Roman" w:cstheme="minorHAnsi"/>
                <w:bCs/>
                <w:spacing w:val="-3"/>
                <w:lang w:eastAsia="en-GB"/>
              </w:rPr>
              <w:t xml:space="preserve">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18"/>
              <w:gridCol w:w="1276"/>
              <w:gridCol w:w="567"/>
              <w:gridCol w:w="4696"/>
            </w:tblGrid>
            <w:tr w:rsidR="006B09AA" w:rsidRPr="00831CDF" w14:paraId="485A48A2" w14:textId="77777777" w:rsidTr="000D159E">
              <w:trPr>
                <w:trHeight w:val="313"/>
              </w:trPr>
              <w:tc>
                <w:tcPr>
                  <w:tcW w:w="2018" w:type="dxa"/>
                  <w:tcBorders>
                    <w:bottom w:val="single" w:sz="4" w:space="0" w:color="auto"/>
                  </w:tcBorders>
                </w:tcPr>
                <w:p w14:paraId="18322801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14:paraId="57357DDC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3A2A5669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</w:tcPr>
                <w:p w14:paraId="0541CCCB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6B09AA" w:rsidRPr="00DD7C39" w14:paraId="75A16D06" w14:textId="77777777" w:rsidTr="000D159E">
              <w:trPr>
                <w:trHeight w:val="329"/>
              </w:trPr>
              <w:tc>
                <w:tcPr>
                  <w:tcW w:w="2018" w:type="dxa"/>
                  <w:tcBorders>
                    <w:bottom w:val="single" w:sz="4" w:space="0" w:color="auto"/>
                  </w:tcBorders>
                </w:tcPr>
                <w:p w14:paraId="4AA1543B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R. Ambrosino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14:paraId="2A292C0F" w14:textId="77777777" w:rsidR="006B09AA" w:rsidRPr="00831CDF" w:rsidRDefault="006B09AA" w:rsidP="006B09AA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088C0003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DE92E48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 xml:space="preserve">D001 </w:t>
                  </w:r>
                  <w:r w:rsidRPr="00831CDF">
                    <w:rPr>
                      <w:rFonts w:asciiTheme="minorHAnsi" w:hAnsiTheme="minorHAnsi" w:cstheme="minorHAnsi"/>
                      <w:lang w:val="nl-NL" w:eastAsia="en-GB"/>
                    </w:rPr>
                    <w:t>(G. Ramogida, R. Lombroni, F. Giorgetti, P. Fanelli</w:t>
                  </w:r>
                  <w:r w:rsidRPr="00831CDF">
                    <w:rPr>
                      <w:rFonts w:asciiTheme="minorHAnsi" w:hAnsiTheme="minorHAnsi" w:cstheme="minorHAnsi"/>
                      <w:shd w:val="clear" w:color="auto" w:fill="FFFFFF"/>
                      <w:lang w:val="it-IT"/>
                    </w:rPr>
                    <w:t>)</w:t>
                  </w:r>
                </w:p>
              </w:tc>
            </w:tr>
            <w:tr w:rsidR="006B09AA" w:rsidRPr="00DD7C39" w14:paraId="0B8913E4" w14:textId="77777777" w:rsidTr="000D159E">
              <w:trPr>
                <w:trHeight w:val="329"/>
              </w:trPr>
              <w:tc>
                <w:tcPr>
                  <w:tcW w:w="2018" w:type="dxa"/>
                  <w:tcBorders>
                    <w:bottom w:val="single" w:sz="4" w:space="0" w:color="auto"/>
                  </w:tcBorders>
                </w:tcPr>
                <w:p w14:paraId="4CE07C89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nl-NL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nl-NL" w:eastAsia="en-GB"/>
                    </w:rPr>
                    <w:t xml:space="preserve">G. Ramogida 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14:paraId="5B166943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>ENEA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05D112D9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>1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0CCCAB3" w14:textId="77777777" w:rsidR="006B09AA" w:rsidRPr="00831CDF" w:rsidRDefault="006B09AA" w:rsidP="006B09AA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lang w:val="nl-NL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lang w:val="nl-NL" w:eastAsia="en-GB"/>
                    </w:rPr>
                    <w:t>D002 (R. Ambrosino, R. Lombroni, F. Giorgetti, P. Fanelli</w:t>
                  </w:r>
                  <w:r w:rsidRPr="00831CDF">
                    <w:rPr>
                      <w:rFonts w:asciiTheme="minorHAnsi" w:hAnsiTheme="minorHAnsi" w:cstheme="minorHAnsi"/>
                      <w:shd w:val="clear" w:color="auto" w:fill="FFFFFF"/>
                      <w:lang w:val="it-IT"/>
                    </w:rPr>
                    <w:t>)</w:t>
                  </w:r>
                </w:p>
              </w:tc>
            </w:tr>
            <w:tr w:rsidR="006B09AA" w:rsidRPr="00DD7C39" w14:paraId="1DD14343" w14:textId="77777777" w:rsidTr="000D159E">
              <w:trPr>
                <w:trHeight w:val="329"/>
              </w:trPr>
              <w:tc>
                <w:tcPr>
                  <w:tcW w:w="2018" w:type="dxa"/>
                  <w:tcBorders>
                    <w:bottom w:val="single" w:sz="4" w:space="0" w:color="auto"/>
                  </w:tcBorders>
                </w:tcPr>
                <w:p w14:paraId="24CCC3A8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 xml:space="preserve">R. Lombroni  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</w:tcPr>
                <w:p w14:paraId="5E7AD5DA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>ENEA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14:paraId="296AF386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it-IT" w:eastAsia="en-GB"/>
                    </w:rPr>
                    <w:t>7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0D21AB" w14:textId="77777777" w:rsidR="006B09AA" w:rsidRPr="00831CDF" w:rsidRDefault="006B09AA" w:rsidP="006B09AA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lang w:val="en-GB" w:eastAsia="en-GB"/>
                    </w:rPr>
                    <w:t xml:space="preserve">D003 </w:t>
                  </w:r>
                  <w:r w:rsidRPr="00831CDF">
                    <w:rPr>
                      <w:rFonts w:asciiTheme="minorHAnsi" w:hAnsiTheme="minorHAnsi" w:cstheme="minorHAnsi"/>
                      <w:lang w:val="nl-NL" w:eastAsia="en-GB"/>
                    </w:rPr>
                    <w:t>(R. Ambrosino, G. Ramogida, F. Giorgetti, P. Fanelli</w:t>
                  </w:r>
                  <w:r w:rsidRPr="00831CDF">
                    <w:rPr>
                      <w:rFonts w:asciiTheme="minorHAnsi" w:hAnsiTheme="minorHAnsi" w:cstheme="minorHAnsi"/>
                      <w:shd w:val="clear" w:color="auto" w:fill="FFFFFF"/>
                      <w:lang w:val="it-IT"/>
                    </w:rPr>
                    <w:t>)</w:t>
                  </w:r>
                </w:p>
              </w:tc>
            </w:tr>
            <w:tr w:rsidR="006B09AA" w:rsidRPr="00DD7C39" w14:paraId="7B4291C3" w14:textId="77777777" w:rsidTr="000D159E">
              <w:trPr>
                <w:trHeight w:val="347"/>
              </w:trPr>
              <w:tc>
                <w:tcPr>
                  <w:tcW w:w="2018" w:type="dxa"/>
                  <w:tcBorders>
                    <w:top w:val="single" w:sz="18" w:space="0" w:color="auto"/>
                  </w:tcBorders>
                </w:tcPr>
                <w:p w14:paraId="000E2647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76" w:type="dxa"/>
                  <w:tcBorders>
                    <w:top w:val="single" w:sz="18" w:space="0" w:color="auto"/>
                  </w:tcBorders>
                </w:tcPr>
                <w:p w14:paraId="39DF2977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18" w:space="0" w:color="auto"/>
                  </w:tcBorders>
                </w:tcPr>
                <w:p w14:paraId="4146927F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  <w:t>15</w:t>
                  </w:r>
                </w:p>
              </w:tc>
              <w:tc>
                <w:tcPr>
                  <w:tcW w:w="4696" w:type="dxa"/>
                  <w:tcBorders>
                    <w:top w:val="single" w:sz="18" w:space="0" w:color="auto"/>
                  </w:tcBorders>
                </w:tcPr>
                <w:p w14:paraId="4B6EF890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43DEE3CB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lang w:val="en-GB" w:eastAsia="en-GB"/>
              </w:rPr>
            </w:pPr>
          </w:p>
          <w:p w14:paraId="58D5C99F" w14:textId="77777777" w:rsidR="006B09AA" w:rsidRPr="006B09AA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lang w:val="en-US" w:eastAsia="en-GB"/>
              </w:rPr>
            </w:pPr>
            <w:r w:rsidRPr="00831CDF">
              <w:rPr>
                <w:rFonts w:eastAsia="Times New Roman" w:cstheme="minorHAnsi"/>
                <w:b/>
                <w:spacing w:val="-3"/>
                <w:lang w:val="en-GB" w:eastAsia="en-GB"/>
              </w:rPr>
              <w:t>Machine Resources</w:t>
            </w:r>
            <w:r>
              <w:rPr>
                <w:rFonts w:eastAsia="Times New Roman" w:cstheme="minorHAnsi"/>
                <w:b/>
                <w:spacing w:val="-3"/>
                <w:lang w:val="en-GB" w:eastAsia="en-GB"/>
              </w:rPr>
              <w:t xml:space="preserve"> (2022)</w:t>
            </w:r>
            <w:r w:rsidRPr="00831CDF">
              <w:rPr>
                <w:rFonts w:eastAsia="Times New Roman" w:cstheme="minorHAnsi"/>
                <w:b/>
                <w:spacing w:val="-3"/>
                <w:lang w:val="en-GB" w:eastAsia="en-GB"/>
              </w:rPr>
              <w:t xml:space="preserve">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6B09AA" w:rsidRPr="00DD7C39" w14:paraId="0B34ED56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1CA4C1AA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7A6559F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432F9DD0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14C60184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6B09AA" w:rsidRPr="00DD7C39" w14:paraId="7C72E5AE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881C18E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FF0000"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n.a.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74EB18BC" w14:textId="77777777" w:rsidR="006B09AA" w:rsidRPr="00831CDF" w:rsidRDefault="006B09AA" w:rsidP="006B09AA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FF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A20CE51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FF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97FA87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FF0000"/>
                      <w:spacing w:val="-3"/>
                      <w:lang w:val="en-GB" w:eastAsia="en-GB"/>
                    </w:rPr>
                  </w:pPr>
                </w:p>
              </w:tc>
            </w:tr>
            <w:tr w:rsidR="006B09AA" w:rsidRPr="00DD7C39" w14:paraId="451A1E22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5EE23FD7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28B81038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38530A83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64C71915" w14:textId="77777777" w:rsidR="006B09AA" w:rsidRPr="00831CDF" w:rsidRDefault="006B09AA" w:rsidP="006B09AA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602E096" w14:textId="77777777" w:rsidR="006B09AA" w:rsidRPr="006B09AA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lang w:val="en-US" w:eastAsia="en-GB"/>
              </w:rPr>
            </w:pPr>
            <w:r w:rsidRPr="006B09AA">
              <w:rPr>
                <w:rFonts w:eastAsia="Times New Roman" w:cstheme="minorHAnsi"/>
                <w:b/>
                <w:spacing w:val="-3"/>
                <w:lang w:val="en-US" w:eastAsia="en-GB"/>
              </w:rPr>
              <w:t xml:space="preserve">Other resources: </w:t>
            </w:r>
          </w:p>
          <w:p w14:paraId="076E92FE" w14:textId="77777777" w:rsidR="006B09AA" w:rsidRPr="006B09AA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lang w:val="en-US" w:eastAsia="en-GB"/>
              </w:rPr>
            </w:pPr>
          </w:p>
          <w:p w14:paraId="3809CC1A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Collaborations:</w:t>
            </w:r>
          </w:p>
          <w:p w14:paraId="6AE7D344" w14:textId="77777777" w:rsidR="006B09AA" w:rsidRPr="00831CDF" w:rsidRDefault="006B09AA" w:rsidP="006B09AA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>
              <w:rPr>
                <w:rFonts w:eastAsia="Times New Roman" w:cstheme="minorHAnsi"/>
                <w:bCs/>
                <w:spacing w:val="-3"/>
                <w:lang w:val="nl-NL" w:eastAsia="en-GB"/>
              </w:rPr>
              <w:t>WPTE, WP</w:t>
            </w: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>DES</w:t>
            </w:r>
          </w:p>
          <w:p w14:paraId="5AA0BF07" w14:textId="77777777" w:rsidR="006B09AA" w:rsidRPr="00831CDF" w:rsidRDefault="006B09AA" w:rsidP="006B09AA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 xml:space="preserve">EU-CHINA </w:t>
            </w:r>
          </w:p>
          <w:p w14:paraId="63CD5BF6" w14:textId="77777777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lastRenderedPageBreak/>
              <w:t>Other information:</w:t>
            </w:r>
          </w:p>
          <w:p w14:paraId="7C8E2A4F" w14:textId="584DE633" w:rsidR="006B09AA" w:rsidRPr="00831CDF" w:rsidRDefault="006B09AA" w:rsidP="006B09A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lang w:val="en-GB" w:eastAsia="en-GB"/>
              </w:rPr>
              <w:t>ted to TSVVs associated with WP</w:t>
            </w: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D6D25"/>
    <w:multiLevelType w:val="hybridMultilevel"/>
    <w:tmpl w:val="E47E58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11D3F"/>
    <w:multiLevelType w:val="hybridMultilevel"/>
    <w:tmpl w:val="57A4AC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10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1C6"/>
    <w:multiLevelType w:val="hybridMultilevel"/>
    <w:tmpl w:val="0198A4F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677AD"/>
    <w:multiLevelType w:val="hybridMultilevel"/>
    <w:tmpl w:val="F682A044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709DB"/>
    <w:multiLevelType w:val="hybridMultilevel"/>
    <w:tmpl w:val="70643496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25013"/>
    <w:multiLevelType w:val="hybridMultilevel"/>
    <w:tmpl w:val="3FB6BA8C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2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7433F"/>
    <w:multiLevelType w:val="hybridMultilevel"/>
    <w:tmpl w:val="11D0C044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768AF"/>
    <w:multiLevelType w:val="hybridMultilevel"/>
    <w:tmpl w:val="A898472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10"/>
  </w:num>
  <w:num w:numId="2" w16cid:durableId="751589881">
    <w:abstractNumId w:val="17"/>
  </w:num>
  <w:num w:numId="3" w16cid:durableId="1834561067">
    <w:abstractNumId w:val="11"/>
  </w:num>
  <w:num w:numId="4" w16cid:durableId="1063912367">
    <w:abstractNumId w:val="6"/>
  </w:num>
  <w:num w:numId="5" w16cid:durableId="823544276">
    <w:abstractNumId w:val="9"/>
  </w:num>
  <w:num w:numId="6" w16cid:durableId="388959955">
    <w:abstractNumId w:val="3"/>
  </w:num>
  <w:num w:numId="7" w16cid:durableId="71858406">
    <w:abstractNumId w:val="15"/>
  </w:num>
  <w:num w:numId="8" w16cid:durableId="694111450">
    <w:abstractNumId w:val="13"/>
  </w:num>
  <w:num w:numId="9" w16cid:durableId="1039284696">
    <w:abstractNumId w:val="4"/>
  </w:num>
  <w:num w:numId="10" w16cid:durableId="1271352462">
    <w:abstractNumId w:val="19"/>
  </w:num>
  <w:num w:numId="11" w16cid:durableId="811097915">
    <w:abstractNumId w:val="24"/>
  </w:num>
  <w:num w:numId="12" w16cid:durableId="1198274998">
    <w:abstractNumId w:val="30"/>
  </w:num>
  <w:num w:numId="13" w16cid:durableId="1336573214">
    <w:abstractNumId w:val="29"/>
  </w:num>
  <w:num w:numId="14" w16cid:durableId="1212032073">
    <w:abstractNumId w:val="0"/>
  </w:num>
  <w:num w:numId="15" w16cid:durableId="45877587">
    <w:abstractNumId w:val="7"/>
  </w:num>
  <w:num w:numId="16" w16cid:durableId="1191727612">
    <w:abstractNumId w:val="16"/>
  </w:num>
  <w:num w:numId="17" w16cid:durableId="518006868">
    <w:abstractNumId w:val="22"/>
  </w:num>
  <w:num w:numId="18" w16cid:durableId="1642691809">
    <w:abstractNumId w:val="5"/>
  </w:num>
  <w:num w:numId="19" w16cid:durableId="1886872911">
    <w:abstractNumId w:val="1"/>
  </w:num>
  <w:num w:numId="20" w16cid:durableId="1717043805">
    <w:abstractNumId w:val="23"/>
  </w:num>
  <w:num w:numId="21" w16cid:durableId="1990667591">
    <w:abstractNumId w:val="25"/>
  </w:num>
  <w:num w:numId="22" w16cid:durableId="2006587183">
    <w:abstractNumId w:val="18"/>
  </w:num>
  <w:num w:numId="23" w16cid:durableId="524826926">
    <w:abstractNumId w:val="27"/>
  </w:num>
  <w:num w:numId="24" w16cid:durableId="1997147233">
    <w:abstractNumId w:val="28"/>
  </w:num>
  <w:num w:numId="25" w16cid:durableId="873422557">
    <w:abstractNumId w:val="2"/>
  </w:num>
  <w:num w:numId="26" w16cid:durableId="73555740">
    <w:abstractNumId w:val="12"/>
  </w:num>
  <w:num w:numId="27" w16cid:durableId="813107132">
    <w:abstractNumId w:val="8"/>
  </w:num>
  <w:num w:numId="28" w16cid:durableId="489104109">
    <w:abstractNumId w:val="20"/>
  </w:num>
  <w:num w:numId="29" w16cid:durableId="49421498">
    <w:abstractNumId w:val="14"/>
  </w:num>
  <w:num w:numId="30" w16cid:durableId="1052270545">
    <w:abstractNumId w:val="26"/>
  </w:num>
  <w:num w:numId="31" w16cid:durableId="19000905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0484E"/>
    <w:rsid w:val="00091675"/>
    <w:rsid w:val="000A398F"/>
    <w:rsid w:val="000B7716"/>
    <w:rsid w:val="000F19B2"/>
    <w:rsid w:val="000F3C9B"/>
    <w:rsid w:val="00100552"/>
    <w:rsid w:val="001133C1"/>
    <w:rsid w:val="001155C8"/>
    <w:rsid w:val="0013105F"/>
    <w:rsid w:val="001455A9"/>
    <w:rsid w:val="00152131"/>
    <w:rsid w:val="00156C05"/>
    <w:rsid w:val="00167463"/>
    <w:rsid w:val="00167E41"/>
    <w:rsid w:val="00172C09"/>
    <w:rsid w:val="00192B28"/>
    <w:rsid w:val="00197E7E"/>
    <w:rsid w:val="001E1F54"/>
    <w:rsid w:val="001E42A3"/>
    <w:rsid w:val="00204671"/>
    <w:rsid w:val="00207668"/>
    <w:rsid w:val="00234548"/>
    <w:rsid w:val="0024374C"/>
    <w:rsid w:val="002466ED"/>
    <w:rsid w:val="00247496"/>
    <w:rsid w:val="00250B85"/>
    <w:rsid w:val="00262D66"/>
    <w:rsid w:val="00263973"/>
    <w:rsid w:val="002774B2"/>
    <w:rsid w:val="00284ADB"/>
    <w:rsid w:val="0029014A"/>
    <w:rsid w:val="002949F4"/>
    <w:rsid w:val="002A713B"/>
    <w:rsid w:val="002C3547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78F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B753D"/>
    <w:rsid w:val="004D2B1E"/>
    <w:rsid w:val="004E7B03"/>
    <w:rsid w:val="004F3622"/>
    <w:rsid w:val="005136CC"/>
    <w:rsid w:val="005339CF"/>
    <w:rsid w:val="0059748B"/>
    <w:rsid w:val="005A058C"/>
    <w:rsid w:val="005B0DD0"/>
    <w:rsid w:val="005B4F45"/>
    <w:rsid w:val="005C14E0"/>
    <w:rsid w:val="005C5A1C"/>
    <w:rsid w:val="005D2090"/>
    <w:rsid w:val="005E45A5"/>
    <w:rsid w:val="005E5A8C"/>
    <w:rsid w:val="005F3295"/>
    <w:rsid w:val="0060573D"/>
    <w:rsid w:val="00607C6B"/>
    <w:rsid w:val="006318F3"/>
    <w:rsid w:val="006319BE"/>
    <w:rsid w:val="006354A1"/>
    <w:rsid w:val="006372E6"/>
    <w:rsid w:val="006426A6"/>
    <w:rsid w:val="00642C3F"/>
    <w:rsid w:val="006B09AA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92931"/>
    <w:rsid w:val="00892C37"/>
    <w:rsid w:val="008B5C76"/>
    <w:rsid w:val="008C3CE6"/>
    <w:rsid w:val="008C69D3"/>
    <w:rsid w:val="009016C8"/>
    <w:rsid w:val="009022FE"/>
    <w:rsid w:val="00941192"/>
    <w:rsid w:val="009657A3"/>
    <w:rsid w:val="00981241"/>
    <w:rsid w:val="009A3344"/>
    <w:rsid w:val="009A438A"/>
    <w:rsid w:val="009A5A1E"/>
    <w:rsid w:val="009E7D4D"/>
    <w:rsid w:val="00A141F3"/>
    <w:rsid w:val="00A25B49"/>
    <w:rsid w:val="00A33CC0"/>
    <w:rsid w:val="00A40D64"/>
    <w:rsid w:val="00A43F39"/>
    <w:rsid w:val="00A71BEE"/>
    <w:rsid w:val="00A737D6"/>
    <w:rsid w:val="00A7516D"/>
    <w:rsid w:val="00AB137E"/>
    <w:rsid w:val="00AB6449"/>
    <w:rsid w:val="00AE50BB"/>
    <w:rsid w:val="00AF5E26"/>
    <w:rsid w:val="00B14D96"/>
    <w:rsid w:val="00B3431A"/>
    <w:rsid w:val="00B34379"/>
    <w:rsid w:val="00BB1288"/>
    <w:rsid w:val="00BC3A28"/>
    <w:rsid w:val="00BC6DF8"/>
    <w:rsid w:val="00BE134A"/>
    <w:rsid w:val="00BE34AC"/>
    <w:rsid w:val="00C13F67"/>
    <w:rsid w:val="00C14900"/>
    <w:rsid w:val="00C32076"/>
    <w:rsid w:val="00C42538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10BA"/>
    <w:rsid w:val="00DD244E"/>
    <w:rsid w:val="00DD7C39"/>
    <w:rsid w:val="00E411E7"/>
    <w:rsid w:val="00E55FB2"/>
    <w:rsid w:val="00E7617B"/>
    <w:rsid w:val="00E92343"/>
    <w:rsid w:val="00E958BE"/>
    <w:rsid w:val="00ED1AD8"/>
    <w:rsid w:val="00EE2F0C"/>
    <w:rsid w:val="00EE4622"/>
    <w:rsid w:val="00EE4FE7"/>
    <w:rsid w:val="00EF7ACE"/>
    <w:rsid w:val="00F10609"/>
    <w:rsid w:val="00F408CE"/>
    <w:rsid w:val="00F447F7"/>
    <w:rsid w:val="00F51853"/>
    <w:rsid w:val="00F60E55"/>
    <w:rsid w:val="00F9188D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4</cp:revision>
  <dcterms:created xsi:type="dcterms:W3CDTF">2022-09-20T08:37:00Z</dcterms:created>
  <dcterms:modified xsi:type="dcterms:W3CDTF">2022-09-20T08:38:00Z</dcterms:modified>
</cp:coreProperties>
</file>