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263973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2F1E192" w:rsidR="00381E11" w:rsidRPr="00263973" w:rsidRDefault="001155C8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155C8">
              <w:rPr>
                <w:rFonts w:ascii="Calibri" w:eastAsia="SimSun" w:hAnsi="Calibri" w:cs="Calibri"/>
                <w:color w:val="000000"/>
              </w:rPr>
              <w:t>PWIE-SP A.2.T-T002-D00</w:t>
            </w:r>
            <w:r w:rsidR="00783268">
              <w:rPr>
                <w:rFonts w:ascii="Calibri" w:eastAsia="SimSun" w:hAnsi="Calibri" w:cs="Calibri"/>
                <w:color w:val="000000"/>
              </w:rPr>
              <w:t>2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598FE961" w:rsidR="00381E11" w:rsidRPr="004470E6" w:rsidRDefault="00783268" w:rsidP="004470E6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 xml:space="preserve">M. </w:t>
            </w:r>
            <w:proofErr w:type="spellStart"/>
            <w:r>
              <w:rPr>
                <w:rFonts w:ascii="Calibri" w:eastAsia="SimSun" w:hAnsi="Calibri" w:cs="Calibri"/>
                <w:lang w:val="en-US" w:eastAsia="de-DE"/>
              </w:rPr>
              <w:t>Balden</w:t>
            </w:r>
            <w:proofErr w:type="spellEnd"/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DF3E2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color w:val="000000" w:themeColor="text1"/>
                <w:lang w:val="en-US" w:eastAsia="de-DE"/>
              </w:rPr>
              <w:t>SP A.2 High Particle Fluence Exposures of Plasma-Facing Components for ITER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41B94BF5" w:rsidR="005136CC" w:rsidRPr="005136CC" w:rsidRDefault="00783268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783268">
              <w:rPr>
                <w:rFonts w:ascii="Calibri" w:eastAsia="SimSun" w:hAnsi="Calibri" w:cs="Calibri"/>
                <w:lang w:val="en-US" w:eastAsia="de-DE"/>
              </w:rPr>
              <w:t>Pre- and post-characterization of samples (MPG)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EB9F27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697173A" w14:textId="77777777" w:rsidR="001155C8" w:rsidRDefault="001155C8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13A546BA" w:rsidR="001155C8" w:rsidRPr="00381E11" w:rsidRDefault="001155C8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1155C8" w:rsidRPr="00263973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2CA8F015" w14:textId="77777777" w:rsidR="001155C8" w:rsidRPr="001155C8" w:rsidRDefault="001155C8" w:rsidP="001155C8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1155C8">
              <w:rPr>
                <w:rFonts w:cstheme="minorHAnsi"/>
                <w:lang w:val="en-US" w:eastAsia="en-GB"/>
              </w:rPr>
              <w:t xml:space="preserve">This task is envisioned to utilize existing high fluence devices such as MAGNUM-PSI, but also in future 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machines under construction to allow extrapolation of data from existing materials studies towards the effect of high flux and fluence on materials and components. Particular this includes W PFUs for ITER and their use in WEST, but also studies related to pre-damaged (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self-damage, cracking etc.) materials for exposure. The task includes pre- and post-exposure analysis in collaboration with SP B.</w:t>
            </w:r>
          </w:p>
          <w:p w14:paraId="2BFE4FC9" w14:textId="680F3263" w:rsidR="001155C8" w:rsidRPr="00263973" w:rsidRDefault="001155C8" w:rsidP="001155C8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1155C8">
              <w:rPr>
                <w:rFonts w:cstheme="minorHAnsi"/>
                <w:lang w:val="en-US" w:eastAsia="en-GB"/>
              </w:rPr>
              <w:t xml:space="preserve">Where appropriate this will link with WPTE 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give access to relevant tokamak exposures and experiments. </w:t>
            </w:r>
            <w:r>
              <w:rPr>
                <w:rFonts w:cstheme="minorHAnsi"/>
                <w:lang w:eastAsia="en-GB"/>
              </w:rPr>
              <w:t xml:space="preserve">Strong links </w:t>
            </w:r>
            <w:proofErr w:type="spellStart"/>
            <w:r>
              <w:rPr>
                <w:rFonts w:cstheme="minorHAnsi"/>
                <w:lang w:eastAsia="en-GB"/>
              </w:rPr>
              <w:t>to</w:t>
            </w:r>
            <w:proofErr w:type="spellEnd"/>
            <w:r>
              <w:rPr>
                <w:rFonts w:cstheme="minorHAnsi"/>
                <w:lang w:eastAsia="en-GB"/>
              </w:rPr>
              <w:t xml:space="preserve"> </w:t>
            </w:r>
            <w:proofErr w:type="spellStart"/>
            <w:r>
              <w:rPr>
                <w:rFonts w:cstheme="minorHAnsi"/>
                <w:lang w:eastAsia="en-GB"/>
              </w:rPr>
              <w:t>other</w:t>
            </w:r>
            <w:proofErr w:type="spellEnd"/>
            <w:r>
              <w:rPr>
                <w:rFonts w:cstheme="minorHAnsi"/>
                <w:lang w:eastAsia="en-GB"/>
              </w:rPr>
              <w:t xml:space="preserve"> SP A </w:t>
            </w:r>
            <w:proofErr w:type="spellStart"/>
            <w:r>
              <w:rPr>
                <w:rFonts w:cstheme="minorHAnsi"/>
                <w:lang w:eastAsia="en-GB"/>
              </w:rPr>
              <w:t>t</w:t>
            </w:r>
            <w:r w:rsidRPr="005C308F">
              <w:rPr>
                <w:rFonts w:cstheme="minorHAnsi"/>
                <w:lang w:eastAsia="en-GB"/>
              </w:rPr>
              <w:t>asks</w:t>
            </w:r>
            <w:proofErr w:type="spellEnd"/>
            <w:r w:rsidRPr="005C308F">
              <w:rPr>
                <w:rFonts w:cstheme="minorHAnsi"/>
                <w:lang w:eastAsia="en-GB"/>
              </w:rPr>
              <w:t>.</w:t>
            </w:r>
          </w:p>
        </w:tc>
      </w:tr>
      <w:tr w:rsidR="001155C8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4F0E8BD4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ab/>
            </w:r>
          </w:p>
          <w:p w14:paraId="7C1720D9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 xml:space="preserve">W components produced </w:t>
            </w:r>
            <w:proofErr w:type="gramStart"/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 xml:space="preserve"> by ENEA via WPDIV</w:t>
            </w:r>
          </w:p>
          <w:p w14:paraId="1F40A964" w14:textId="1E54270F" w:rsidR="001155C8" w:rsidRPr="00263973" w:rsidRDefault="001155C8" w:rsidP="001155C8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5C308F">
              <w:rPr>
                <w:rFonts w:cstheme="minorHAnsi"/>
                <w:spacing w:val="-3"/>
                <w:szCs w:val="20"/>
                <w:lang w:eastAsia="en-GB"/>
              </w:rPr>
              <w:t xml:space="preserve">PFUs and </w:t>
            </w:r>
            <w:proofErr w:type="spellStart"/>
            <w:r w:rsidRPr="005C308F">
              <w:rPr>
                <w:rFonts w:cstheme="minorHAnsi"/>
                <w:spacing w:val="-3"/>
                <w:szCs w:val="20"/>
                <w:lang w:eastAsia="en-GB"/>
              </w:rPr>
              <w:t>similar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</w:tc>
      </w:tr>
      <w:tr w:rsidR="001155C8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356730BB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2C54608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 xml:space="preserve">Recrystallization behavior of DEMO tungsten grades under high flux/fluence plasma loading with impurity seeded deuterium plasmas (DIFFER) </w:t>
            </w:r>
          </w:p>
          <w:p w14:paraId="751C8169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 xml:space="preserve">Pre- and post-analysis of materials and components (MPG) </w:t>
            </w:r>
          </w:p>
          <w:p w14:paraId="0B87888C" w14:textId="619D978C" w:rsidR="001155C8" w:rsidRPr="00263973" w:rsidRDefault="001155C8" w:rsidP="001155C8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>Further analysis linked to facilities and staffing in SP B</w:t>
            </w:r>
          </w:p>
        </w:tc>
      </w:tr>
      <w:tr w:rsidR="001155C8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75CBC02E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1155C8" w:rsidRPr="005C308F" w14:paraId="4E8F2E72" w14:textId="77777777" w:rsidTr="002F7650">
              <w:tc>
                <w:tcPr>
                  <w:tcW w:w="1576" w:type="dxa"/>
                </w:tcPr>
                <w:p w14:paraId="24989B40" w14:textId="77777777" w:rsidR="001155C8" w:rsidRPr="005C308F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0D88A784" w14:textId="77777777" w:rsidR="001155C8" w:rsidRPr="005C308F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1155C8" w:rsidRPr="001155C8" w14:paraId="6A8E7171" w14:textId="77777777" w:rsidTr="002F7650">
              <w:tc>
                <w:tcPr>
                  <w:tcW w:w="1576" w:type="dxa"/>
                </w:tcPr>
                <w:p w14:paraId="65F5ADCB" w14:textId="77777777" w:rsidR="001155C8" w:rsidRPr="00783268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D19318B" w14:textId="77777777" w:rsidR="001155C8" w:rsidRPr="00783268" w:rsidRDefault="001155C8" w:rsidP="001155C8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color w:val="D9D9D9" w:themeColor="background1" w:themeShade="D9"/>
                    </w:rPr>
                    <w:t>Influence of plasma on Rx under slow transient loading (DIFFER)</w:t>
                  </w:r>
                </w:p>
              </w:tc>
            </w:tr>
            <w:tr w:rsidR="001155C8" w:rsidRPr="001155C8" w14:paraId="37D97997" w14:textId="77777777" w:rsidTr="002F7650">
              <w:tc>
                <w:tcPr>
                  <w:tcW w:w="1576" w:type="dxa"/>
                </w:tcPr>
                <w:p w14:paraId="75A2F4FB" w14:textId="77777777" w:rsidR="001155C8" w:rsidRPr="00783268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79D47D5" w14:textId="77777777" w:rsidR="001155C8" w:rsidRPr="00783268" w:rsidRDefault="001155C8" w:rsidP="001155C8">
                  <w:pPr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Pre- and post-characterization of samples (MPG)</w:t>
                  </w:r>
                </w:p>
              </w:tc>
            </w:tr>
          </w:tbl>
          <w:p w14:paraId="79A9ACA0" w14:textId="77777777" w:rsidR="001155C8" w:rsidRPr="00263973" w:rsidRDefault="001155C8" w:rsidP="001155C8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1155C8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69D735DC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  <w:t>Management Information</w:t>
            </w:r>
          </w:p>
          <w:p w14:paraId="003A2F76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  <w:t>Human Resources (2022)</w:t>
            </w: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>:</w:t>
            </w: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ab/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1155C8" w:rsidRPr="001155C8" w14:paraId="023E0BB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33B82FB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D1CAB1B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DCFD7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BF43265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1155C8" w:rsidRPr="001155C8" w14:paraId="4D10ECD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153EF61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C1320CD" w14:textId="77777777" w:rsidR="001155C8" w:rsidRPr="00783268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4DE2AAB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A17C5EE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1155C8" w:rsidRPr="001155C8" w14:paraId="117217D1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D5AC27C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783268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Balden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3DE3C260" w14:textId="77777777" w:rsidR="001155C8" w:rsidRPr="00783268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5A4A09C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7B2624D" w14:textId="77777777" w:rsidR="001155C8" w:rsidRPr="00783268" w:rsidRDefault="001155C8" w:rsidP="001155C8">
                  <w:pPr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783268"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 xml:space="preserve">D002 </w:t>
                  </w:r>
                  <w:r w:rsidRPr="00783268">
                    <w:rPr>
                      <w:rFonts w:cstheme="minorHAnsi"/>
                      <w:color w:val="000000" w:themeColor="text1"/>
                      <w:lang w:val="en-GB"/>
                    </w:rPr>
                    <w:t xml:space="preserve">(S. </w:t>
                  </w:r>
                  <w:proofErr w:type="spellStart"/>
                  <w:r w:rsidRPr="00783268">
                    <w:rPr>
                      <w:rFonts w:cstheme="minorHAnsi"/>
                      <w:color w:val="000000" w:themeColor="text1"/>
                      <w:lang w:val="en-GB"/>
                    </w:rPr>
                    <w:t>Elgeti</w:t>
                  </w:r>
                  <w:proofErr w:type="spellEnd"/>
                  <w:r w:rsidRPr="00783268">
                    <w:rPr>
                      <w:rFonts w:cstheme="minorHAnsi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tr w:rsidR="001155C8" w:rsidRPr="001155C8" w14:paraId="3D870DD8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1085982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85EACFE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031F3ACF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01FC2F5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012AE3FA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1155C8" w:rsidRPr="001155C8" w14:paraId="1F002312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5788C6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5CAEB65D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96F18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ABC25B9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1155C8" w:rsidRPr="001155C8" w14:paraId="7B818EBF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4E1C90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6AAB4E7" w14:textId="77777777" w:rsidR="001155C8" w:rsidRPr="00783268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DEACDAC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E10B76" w14:textId="77777777" w:rsidR="001155C8" w:rsidRPr="0078326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8326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</w:tr>
          </w:tbl>
          <w:p w14:paraId="344E3045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>Other resources:</w:t>
            </w:r>
          </w:p>
          <w:p w14:paraId="369E9CB6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 </w:t>
            </w:r>
          </w:p>
          <w:p w14:paraId="7DEEBD31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4ADD0127" w14:textId="77777777" w:rsidR="001155C8" w:rsidRPr="005C308F" w:rsidRDefault="001155C8" w:rsidP="001155C8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 in FTD </w:t>
            </w:r>
          </w:p>
          <w:p w14:paraId="1B8214DB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6866C74F" w:rsidR="001155C8" w:rsidRPr="00263973" w:rsidRDefault="001155C8" w:rsidP="001155C8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3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3"/>
  </w:num>
  <w:num w:numId="2" w16cid:durableId="751589881">
    <w:abstractNumId w:val="6"/>
  </w:num>
  <w:num w:numId="3" w16cid:durableId="1834561067">
    <w:abstractNumId w:val="4"/>
  </w:num>
  <w:num w:numId="4" w16cid:durableId="1063912367">
    <w:abstractNumId w:val="1"/>
  </w:num>
  <w:num w:numId="5" w16cid:durableId="823544276">
    <w:abstractNumId w:val="2"/>
  </w:num>
  <w:num w:numId="6" w16cid:durableId="388959955">
    <w:abstractNumId w:val="0"/>
  </w:num>
  <w:num w:numId="7" w16cid:durableId="71858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470E6"/>
    <w:rsid w:val="00462522"/>
    <w:rsid w:val="004E7B03"/>
    <w:rsid w:val="005136CC"/>
    <w:rsid w:val="007107BA"/>
    <w:rsid w:val="00722E2E"/>
    <w:rsid w:val="00783268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E7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2022-08-11T12:55:00Z</dcterms:created>
  <dcterms:modified xsi:type="dcterms:W3CDTF">2022-08-11T12:55:00Z</dcterms:modified>
</cp:coreProperties>
</file>