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460D354"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843DD7">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450CD8">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739D1AA" w:rsidR="00381E11" w:rsidRPr="00F408CE" w:rsidRDefault="00450CD8"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 xml:space="preserve">M. </w:t>
            </w:r>
            <w:proofErr w:type="spellStart"/>
            <w:r w:rsidRPr="00831CDF">
              <w:rPr>
                <w:bCs/>
                <w:color w:val="000000" w:themeColor="text1"/>
                <w:spacing w:val="-3"/>
                <w:lang w:eastAsia="en-GB"/>
              </w:rPr>
              <w:t>Lavrentiev</w:t>
            </w:r>
            <w:proofErr w:type="spellEnd"/>
            <w:r>
              <w:rPr>
                <w:bCs/>
                <w:color w:val="000000" w:themeColor="text1"/>
                <w:spacing w:val="-3"/>
                <w:lang w:eastAsia="en-GB"/>
              </w:rPr>
              <w:t xml:space="preserve"> (UKAEA)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843DD7" w:rsidRPr="00B3431A" w14:paraId="32331656" w14:textId="77777777" w:rsidTr="001455A9">
        <w:trPr>
          <w:trHeight w:val="453"/>
        </w:trPr>
        <w:tc>
          <w:tcPr>
            <w:tcW w:w="1860" w:type="dxa"/>
          </w:tcPr>
          <w:p w14:paraId="5C687F07" w14:textId="009C85F5"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F1D0A7"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43DD7">
              <w:rPr>
                <w:iCs/>
                <w:color w:val="000000" w:themeColor="text1"/>
                <w:spacing w:val="-3"/>
                <w:szCs w:val="20"/>
                <w:lang w:val="en-US" w:eastAsia="en-GB"/>
              </w:rPr>
              <w:t>SP C.2 Modelling of Hydrogen Transport properties in the first wall</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FE7A850" w14:textId="77777777" w:rsidR="00450CD8" w:rsidRPr="00450CD8" w:rsidRDefault="00450CD8" w:rsidP="00450CD8">
            <w:pPr>
              <w:tabs>
                <w:tab w:val="left" w:pos="-1440"/>
                <w:tab w:val="num" w:pos="360"/>
              </w:tabs>
              <w:suppressAutoHyphens/>
              <w:spacing w:beforeLines="20" w:before="48" w:afterLines="20" w:after="48"/>
              <w:jc w:val="both"/>
              <w:rPr>
                <w:spacing w:val="-3"/>
                <w:lang w:val="en-US" w:eastAsia="en-GB"/>
              </w:rPr>
            </w:pPr>
            <w:r w:rsidRPr="00450CD8">
              <w:rPr>
                <w:lang w:val="en-US"/>
              </w:rPr>
              <w:t>Formation of Defects in the presence of H and/or He</w:t>
            </w:r>
          </w:p>
          <w:p w14:paraId="0C1108C0" w14:textId="4974D3C9" w:rsidR="00843DD7" w:rsidRPr="007F2D7D" w:rsidRDefault="00843DD7" w:rsidP="00843DD7">
            <w:pPr>
              <w:tabs>
                <w:tab w:val="left" w:pos="-1440"/>
                <w:tab w:val="num" w:pos="360"/>
              </w:tabs>
              <w:suppressAutoHyphens/>
              <w:spacing w:beforeLines="20" w:before="48" w:afterLines="20" w:after="48"/>
              <w:jc w:val="both"/>
              <w:rPr>
                <w:lang w:val="en-US"/>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843DD7" w:rsidRPr="00B3431A" w14:paraId="0EAF176E" w14:textId="77777777" w:rsidTr="001455A9">
        <w:trPr>
          <w:trHeight w:val="545"/>
        </w:trPr>
        <w:tc>
          <w:tcPr>
            <w:tcW w:w="9030" w:type="dxa"/>
            <w:gridSpan w:val="11"/>
          </w:tcPr>
          <w:p w14:paraId="1F40A964" w14:textId="7BBB229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43DD7">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843DD7">
              <w:rPr>
                <w:color w:val="000000" w:themeColor="text1"/>
                <w:szCs w:val="20"/>
                <w:lang w:val="en-US"/>
              </w:rPr>
              <w:t>Both of these</w:t>
            </w:r>
            <w:proofErr w:type="gramEnd"/>
            <w:r w:rsidRPr="00843DD7">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Modeling this transport is multi-scale problem that requires both macroscopic rate equation models like Diffusion Trapping Codes (DTCs) and atomistic models like Density Functional Theory (DFT). The DFT codes model the energy landscapes around lattice imperfections, which then yield the activation energies and attempt frequencies for the DTCs that can then model the transport within an entire first wall component on realistic time scales. The macroscopy rate equation models need to able to handle the interfaces between different wall materials, temperature gradients and appropriate boundary conditions on the plasma and coolant water side to describe the entry of HIs into and out of the first wall. To model the retention in the material the codes have to contain models that describe the defect evolution due to interaction of the first wall with the fusion environment: bombardment by plasma species and/or MeV neutrons, formation of transmutation and decay products like </w:t>
            </w:r>
            <w:proofErr w:type="gramStart"/>
            <w:r w:rsidRPr="00843DD7">
              <w:rPr>
                <w:color w:val="000000" w:themeColor="text1"/>
                <w:szCs w:val="20"/>
                <w:lang w:val="en-US"/>
              </w:rPr>
              <w:t>e.g.</w:t>
            </w:r>
            <w:proofErr w:type="gramEnd"/>
            <w:r w:rsidRPr="00843DD7">
              <w:rPr>
                <w:color w:val="000000" w:themeColor="text1"/>
                <w:szCs w:val="20"/>
                <w:lang w:val="en-US"/>
              </w:rPr>
              <w:t xml:space="preserve"> Re and He.</w:t>
            </w:r>
          </w:p>
        </w:tc>
      </w:tr>
      <w:tr w:rsidR="00843DD7" w:rsidRPr="00B3431A" w14:paraId="1C12B87A" w14:textId="77777777" w:rsidTr="001455A9">
        <w:trPr>
          <w:trHeight w:val="545"/>
        </w:trPr>
        <w:tc>
          <w:tcPr>
            <w:tcW w:w="9030" w:type="dxa"/>
            <w:gridSpan w:val="11"/>
          </w:tcPr>
          <w:p w14:paraId="153BD419"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b/>
                <w:bCs/>
                <w:color w:val="000000" w:themeColor="text1"/>
                <w:spacing w:val="-3"/>
                <w:szCs w:val="20"/>
                <w:lang w:val="en-US" w:eastAsia="en-GB"/>
              </w:rPr>
              <w:t>Inputs required:</w:t>
            </w:r>
            <w:r w:rsidRPr="00843DD7">
              <w:rPr>
                <w:b/>
                <w:bCs/>
                <w:color w:val="000000" w:themeColor="text1"/>
                <w:spacing w:val="-3"/>
                <w:szCs w:val="20"/>
                <w:lang w:val="en-US" w:eastAsia="en-GB"/>
              </w:rPr>
              <w:tab/>
            </w:r>
          </w:p>
          <w:p w14:paraId="7D6162A8" w14:textId="33448A44" w:rsidR="00843DD7" w:rsidRPr="00843DD7" w:rsidRDefault="00843DD7" w:rsidP="00843DD7">
            <w:pPr>
              <w:tabs>
                <w:tab w:val="left" w:pos="-1440"/>
                <w:tab w:val="left" w:pos="0"/>
                <w:tab w:val="left" w:pos="720"/>
                <w:tab w:val="left" w:pos="1622"/>
                <w:tab w:val="left" w:pos="2160"/>
              </w:tabs>
              <w:suppressAutoHyphens/>
              <w:spacing w:beforeLines="20" w:before="48" w:afterLines="20" w:after="48" w:line="276" w:lineRule="auto"/>
              <w:contextualSpacing/>
              <w:rPr>
                <w:color w:val="000000" w:themeColor="text1"/>
                <w:szCs w:val="20"/>
                <w:lang w:val="en-US"/>
              </w:rPr>
            </w:pPr>
            <w:r w:rsidRPr="00843DD7">
              <w:rPr>
                <w:bCs/>
                <w:color w:val="000000" w:themeColor="text1"/>
                <w:spacing w:val="-3"/>
                <w:szCs w:val="20"/>
                <w:lang w:val="en-US" w:eastAsia="en-GB"/>
              </w:rPr>
              <w:t>Experimental data from permeation and retention experiments</w:t>
            </w:r>
          </w:p>
        </w:tc>
      </w:tr>
      <w:tr w:rsidR="00843DD7" w:rsidRPr="00B3431A" w14:paraId="2266A9B9" w14:textId="77777777" w:rsidTr="001455A9">
        <w:trPr>
          <w:trHeight w:val="545"/>
        </w:trPr>
        <w:tc>
          <w:tcPr>
            <w:tcW w:w="9030" w:type="dxa"/>
            <w:gridSpan w:val="11"/>
          </w:tcPr>
          <w:p w14:paraId="5789E47D"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600F77C9" w14:textId="77777777" w:rsidR="00843DD7" w:rsidRPr="00843DD7" w:rsidRDefault="00843DD7" w:rsidP="00843DD7">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843DD7">
              <w:rPr>
                <w:color w:val="000000" w:themeColor="text1"/>
                <w:szCs w:val="20"/>
                <w:lang w:val="en-US" w:eastAsia="en-GB"/>
              </w:rPr>
              <w:t>H diffusion and segregation at the Cu/W interface (CEA)</w:t>
            </w:r>
          </w:p>
          <w:p w14:paraId="2C24FF66" w14:textId="4C7334D5"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color w:val="000000" w:themeColor="text1"/>
                <w:szCs w:val="20"/>
                <w:lang w:val="en-US" w:eastAsia="en-GB"/>
              </w:rPr>
              <w:t>DFT calculations of defects in W in the presence of H and He (UKAEA)</w:t>
            </w:r>
          </w:p>
        </w:tc>
      </w:tr>
      <w:tr w:rsidR="00843DD7" w:rsidRPr="00B3431A" w14:paraId="0E2531B0" w14:textId="77777777" w:rsidTr="001455A9">
        <w:trPr>
          <w:trHeight w:val="545"/>
        </w:trPr>
        <w:tc>
          <w:tcPr>
            <w:tcW w:w="9030" w:type="dxa"/>
            <w:gridSpan w:val="11"/>
          </w:tcPr>
          <w:p w14:paraId="43EFD8D9"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proofErr w:type="gramStart"/>
            <w:r w:rsidRPr="00831CDF">
              <w:rPr>
                <w:b/>
                <w:bCs/>
                <w:spacing w:val="-3"/>
                <w:szCs w:val="20"/>
                <w:lang w:eastAsia="en-GB"/>
              </w:rPr>
              <w:t>Deliverables</w:t>
            </w:r>
            <w:proofErr w:type="spellEnd"/>
            <w:r w:rsidRPr="00831CDF">
              <w:rPr>
                <w:b/>
                <w:bCs/>
                <w:spacing w:val="-3"/>
                <w:szCs w:val="20"/>
                <w:lang w:eastAsia="en-GB"/>
              </w:rPr>
              <w:t xml:space="preserve"> :</w:t>
            </w:r>
            <w:proofErr w:type="gramEnd"/>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843DD7" w:rsidRPr="00831CDF" w14:paraId="4CB051B1" w14:textId="77777777" w:rsidTr="000E34C6">
              <w:tc>
                <w:tcPr>
                  <w:tcW w:w="1576" w:type="dxa"/>
                </w:tcPr>
                <w:p w14:paraId="635ECF9B" w14:textId="77777777" w:rsidR="00843DD7" w:rsidRPr="00831CDF" w:rsidRDefault="00843DD7" w:rsidP="00843DD7">
                  <w:pPr>
                    <w:tabs>
                      <w:tab w:val="left" w:pos="-1440"/>
                      <w:tab w:val="num" w:pos="360"/>
                    </w:tabs>
                    <w:suppressAutoHyphens/>
                    <w:spacing w:beforeLines="20" w:before="48" w:afterLines="20" w:after="48"/>
                    <w:rPr>
                      <w:b/>
                      <w:spacing w:val="-3"/>
                      <w:lang w:eastAsia="en-GB"/>
                    </w:rPr>
                  </w:pPr>
                  <w:r w:rsidRPr="00831CDF">
                    <w:rPr>
                      <w:b/>
                      <w:spacing w:val="-3"/>
                      <w:lang w:eastAsia="en-GB"/>
                    </w:rPr>
                    <w:t>Deliverable ID</w:t>
                  </w:r>
                </w:p>
              </w:tc>
              <w:tc>
                <w:tcPr>
                  <w:tcW w:w="7199" w:type="dxa"/>
                </w:tcPr>
                <w:p w14:paraId="474F6A5D" w14:textId="77777777" w:rsidR="00843DD7" w:rsidRPr="00831CDF" w:rsidRDefault="00843DD7" w:rsidP="00843DD7">
                  <w:pPr>
                    <w:tabs>
                      <w:tab w:val="left" w:pos="-1440"/>
                      <w:tab w:val="num" w:pos="360"/>
                    </w:tabs>
                    <w:suppressAutoHyphens/>
                    <w:spacing w:beforeLines="20" w:before="48" w:afterLines="20" w:after="48"/>
                    <w:rPr>
                      <w:b/>
                      <w:spacing w:val="-3"/>
                      <w:lang w:eastAsia="en-GB"/>
                    </w:rPr>
                  </w:pPr>
                  <w:r w:rsidRPr="00831CDF">
                    <w:rPr>
                      <w:b/>
                      <w:spacing w:val="-3"/>
                      <w:lang w:eastAsia="en-GB"/>
                    </w:rPr>
                    <w:t>Deliverable Title</w:t>
                  </w:r>
                </w:p>
              </w:tc>
            </w:tr>
            <w:tr w:rsidR="00843DD7" w:rsidRPr="00843DD7" w14:paraId="70B91626" w14:textId="77777777" w:rsidTr="000E34C6">
              <w:tc>
                <w:tcPr>
                  <w:tcW w:w="1576" w:type="dxa"/>
                </w:tcPr>
                <w:p w14:paraId="233AE053" w14:textId="77777777" w:rsidR="00843DD7" w:rsidRPr="00450CD8" w:rsidRDefault="00843DD7" w:rsidP="00843DD7">
                  <w:pPr>
                    <w:tabs>
                      <w:tab w:val="left" w:pos="-1440"/>
                      <w:tab w:val="num" w:pos="360"/>
                    </w:tabs>
                    <w:suppressAutoHyphens/>
                    <w:spacing w:beforeLines="20" w:before="48" w:afterLines="20" w:after="48"/>
                    <w:rPr>
                      <w:color w:val="D9D9D9" w:themeColor="background1" w:themeShade="D9"/>
                      <w:spacing w:val="-3"/>
                      <w:lang w:eastAsia="en-GB"/>
                    </w:rPr>
                  </w:pPr>
                  <w:r w:rsidRPr="00450CD8">
                    <w:rPr>
                      <w:color w:val="D9D9D9" w:themeColor="background1" w:themeShade="D9"/>
                      <w:spacing w:val="-3"/>
                      <w:lang w:eastAsia="en-GB"/>
                    </w:rPr>
                    <w:t>D001</w:t>
                  </w:r>
                </w:p>
              </w:tc>
              <w:tc>
                <w:tcPr>
                  <w:tcW w:w="7199" w:type="dxa"/>
                </w:tcPr>
                <w:p w14:paraId="24BC8EA5" w14:textId="77777777" w:rsidR="00843DD7" w:rsidRPr="00450CD8" w:rsidRDefault="00843DD7" w:rsidP="00843DD7">
                  <w:pPr>
                    <w:tabs>
                      <w:tab w:val="left" w:pos="-1440"/>
                      <w:tab w:val="num" w:pos="360"/>
                    </w:tabs>
                    <w:suppressAutoHyphens/>
                    <w:spacing w:beforeLines="20" w:before="48" w:afterLines="20" w:after="48"/>
                    <w:rPr>
                      <w:color w:val="D9D9D9" w:themeColor="background1" w:themeShade="D9"/>
                      <w:spacing w:val="-3"/>
                      <w:lang w:eastAsia="en-GB"/>
                    </w:rPr>
                  </w:pPr>
                  <w:r w:rsidRPr="00450CD8">
                    <w:rPr>
                      <w:color w:val="D9D9D9" w:themeColor="background1" w:themeShade="D9"/>
                      <w:spacing w:val="-3"/>
                      <w:lang w:eastAsia="en-GB"/>
                    </w:rPr>
                    <w:t>Energy landscape of H at a W/Cu material interface (CEA)</w:t>
                  </w:r>
                </w:p>
              </w:tc>
            </w:tr>
            <w:tr w:rsidR="00843DD7" w:rsidRPr="00843DD7" w14:paraId="222D3762" w14:textId="77777777" w:rsidTr="000E34C6">
              <w:tc>
                <w:tcPr>
                  <w:tcW w:w="1576" w:type="dxa"/>
                </w:tcPr>
                <w:p w14:paraId="07939137" w14:textId="77777777" w:rsidR="00843DD7" w:rsidRPr="00450CD8" w:rsidRDefault="00843DD7" w:rsidP="00843DD7">
                  <w:pPr>
                    <w:tabs>
                      <w:tab w:val="left" w:pos="-1440"/>
                      <w:tab w:val="num" w:pos="360"/>
                    </w:tabs>
                    <w:suppressAutoHyphens/>
                    <w:spacing w:beforeLines="20" w:before="48" w:afterLines="20" w:after="48"/>
                    <w:rPr>
                      <w:color w:val="000000" w:themeColor="text1"/>
                      <w:spacing w:val="-3"/>
                      <w:lang w:eastAsia="en-GB"/>
                    </w:rPr>
                  </w:pPr>
                  <w:r w:rsidRPr="00450CD8">
                    <w:rPr>
                      <w:color w:val="000000" w:themeColor="text1"/>
                      <w:spacing w:val="-3"/>
                      <w:lang w:eastAsia="en-GB"/>
                    </w:rPr>
                    <w:t>D002</w:t>
                  </w:r>
                </w:p>
              </w:tc>
              <w:tc>
                <w:tcPr>
                  <w:tcW w:w="7199" w:type="dxa"/>
                </w:tcPr>
                <w:p w14:paraId="4336A38D" w14:textId="77777777" w:rsidR="00843DD7" w:rsidRPr="00450CD8" w:rsidRDefault="00843DD7" w:rsidP="00843DD7">
                  <w:pPr>
                    <w:tabs>
                      <w:tab w:val="left" w:pos="-1440"/>
                      <w:tab w:val="num" w:pos="360"/>
                    </w:tabs>
                    <w:suppressAutoHyphens/>
                    <w:spacing w:beforeLines="20" w:before="48" w:afterLines="20" w:after="48"/>
                    <w:rPr>
                      <w:color w:val="000000" w:themeColor="text1"/>
                      <w:spacing w:val="-3"/>
                      <w:lang w:eastAsia="en-GB"/>
                    </w:rPr>
                  </w:pPr>
                  <w:r w:rsidRPr="00450CD8">
                    <w:rPr>
                      <w:color w:val="000000" w:themeColor="text1"/>
                    </w:rPr>
                    <w:t>Formation of Defects in the presence of H and/or He</w:t>
                  </w:r>
                </w:p>
              </w:tc>
            </w:tr>
          </w:tbl>
          <w:p w14:paraId="00491131"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843DD7" w:rsidRPr="00B3431A" w14:paraId="3D85F44F" w14:textId="77777777" w:rsidTr="001455A9">
        <w:trPr>
          <w:trHeight w:val="545"/>
        </w:trPr>
        <w:tc>
          <w:tcPr>
            <w:tcW w:w="9030" w:type="dxa"/>
            <w:gridSpan w:val="11"/>
          </w:tcPr>
          <w:p w14:paraId="56FA58F5"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843DD7">
              <w:rPr>
                <w:b/>
                <w:bCs/>
                <w:spacing w:val="-3"/>
                <w:szCs w:val="20"/>
                <w:lang w:val="en-US" w:eastAsia="en-GB"/>
              </w:rPr>
              <w:t>Management Information</w:t>
            </w:r>
          </w:p>
          <w:p w14:paraId="5D339C2C"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i/>
                <w:iCs/>
                <w:spacing w:val="-3"/>
                <w:szCs w:val="20"/>
                <w:lang w:val="en-US" w:eastAsia="en-GB"/>
              </w:rPr>
            </w:pPr>
            <w:r w:rsidRPr="00843DD7">
              <w:rPr>
                <w:b/>
                <w:bCs/>
                <w:spacing w:val="-3"/>
                <w:szCs w:val="20"/>
                <w:lang w:val="en-US" w:eastAsia="en-GB"/>
              </w:rPr>
              <w:t>Human Resources (2022)</w:t>
            </w:r>
            <w:r w:rsidRPr="00843DD7">
              <w:rPr>
                <w:bCs/>
                <w:spacing w:val="-3"/>
                <w:szCs w:val="20"/>
                <w:lang w:val="en-US" w:eastAsia="en-GB"/>
              </w:rPr>
              <w:t>:</w:t>
            </w:r>
          </w:p>
          <w:tbl>
            <w:tblPr>
              <w:tblStyle w:val="Tabellenraster7"/>
              <w:tblW w:w="0" w:type="auto"/>
              <w:tblLayout w:type="fixed"/>
              <w:tblLook w:val="04A0" w:firstRow="1" w:lastRow="0" w:firstColumn="1" w:lastColumn="0" w:noHBand="0" w:noVBand="1"/>
            </w:tblPr>
            <w:tblGrid>
              <w:gridCol w:w="2017"/>
              <w:gridCol w:w="1276"/>
              <w:gridCol w:w="924"/>
              <w:gridCol w:w="4340"/>
            </w:tblGrid>
            <w:tr w:rsidR="00843DD7" w:rsidRPr="00843DD7" w14:paraId="506FB2D6" w14:textId="77777777" w:rsidTr="000E34C6">
              <w:trPr>
                <w:trHeight w:val="313"/>
              </w:trPr>
              <w:tc>
                <w:tcPr>
                  <w:tcW w:w="2017" w:type="dxa"/>
                  <w:tcBorders>
                    <w:bottom w:val="single" w:sz="4" w:space="0" w:color="auto"/>
                  </w:tcBorders>
                </w:tcPr>
                <w:p w14:paraId="1FFB36C7"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Deliverable Owner</w:t>
                  </w:r>
                </w:p>
              </w:tc>
              <w:tc>
                <w:tcPr>
                  <w:tcW w:w="1276" w:type="dxa"/>
                  <w:tcBorders>
                    <w:bottom w:val="single" w:sz="4" w:space="0" w:color="auto"/>
                  </w:tcBorders>
                </w:tcPr>
                <w:p w14:paraId="03712E43"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Beneficiary</w:t>
                  </w:r>
                </w:p>
              </w:tc>
              <w:tc>
                <w:tcPr>
                  <w:tcW w:w="924" w:type="dxa"/>
                  <w:tcBorders>
                    <w:bottom w:val="single" w:sz="4" w:space="0" w:color="auto"/>
                  </w:tcBorders>
                </w:tcPr>
                <w:p w14:paraId="28087C22"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
                      <w:bCs/>
                      <w:spacing w:val="-3"/>
                      <w:lang w:eastAsia="en-GB"/>
                    </w:rPr>
                  </w:pPr>
                  <w:r w:rsidRPr="00831CDF">
                    <w:rPr>
                      <w:b/>
                      <w:bCs/>
                      <w:spacing w:val="-3"/>
                      <w:lang w:eastAsia="en-GB"/>
                    </w:rPr>
                    <w:t>PM</w:t>
                  </w:r>
                </w:p>
              </w:tc>
              <w:tc>
                <w:tcPr>
                  <w:tcW w:w="4340" w:type="dxa"/>
                  <w:tcBorders>
                    <w:bottom w:val="single" w:sz="4" w:space="0" w:color="auto"/>
                  </w:tcBorders>
                </w:tcPr>
                <w:p w14:paraId="688EFC3E"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843DD7" w:rsidRPr="00843DD7" w14:paraId="2BAB2704" w14:textId="77777777" w:rsidTr="000E34C6">
              <w:trPr>
                <w:trHeight w:val="329"/>
              </w:trPr>
              <w:tc>
                <w:tcPr>
                  <w:tcW w:w="2017" w:type="dxa"/>
                  <w:tcBorders>
                    <w:bottom w:val="single" w:sz="4" w:space="0" w:color="auto"/>
                  </w:tcBorders>
                </w:tcPr>
                <w:p w14:paraId="682C8D30" w14:textId="77777777" w:rsidR="00843DD7" w:rsidRPr="00450CD8" w:rsidRDefault="00843DD7" w:rsidP="00843DD7">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50CD8">
                    <w:rPr>
                      <w:bCs/>
                      <w:color w:val="D9D9D9" w:themeColor="background1" w:themeShade="D9"/>
                      <w:spacing w:val="-3"/>
                      <w:lang w:eastAsia="en-GB"/>
                    </w:rPr>
                    <w:t>Y. Ferro</w:t>
                  </w:r>
                </w:p>
              </w:tc>
              <w:tc>
                <w:tcPr>
                  <w:tcW w:w="1276" w:type="dxa"/>
                  <w:tcBorders>
                    <w:bottom w:val="single" w:sz="4" w:space="0" w:color="auto"/>
                  </w:tcBorders>
                </w:tcPr>
                <w:p w14:paraId="1031554A" w14:textId="77777777" w:rsidR="00843DD7" w:rsidRPr="00450CD8" w:rsidRDefault="00843DD7" w:rsidP="00843DD7">
                  <w:pPr>
                    <w:spacing w:beforeLines="20" w:before="48" w:afterLines="20" w:after="48"/>
                    <w:rPr>
                      <w:bCs/>
                      <w:color w:val="D9D9D9" w:themeColor="background1" w:themeShade="D9"/>
                      <w:spacing w:val="-3"/>
                      <w:lang w:eastAsia="en-GB"/>
                    </w:rPr>
                  </w:pPr>
                  <w:r w:rsidRPr="00450CD8">
                    <w:rPr>
                      <w:bCs/>
                      <w:color w:val="D9D9D9" w:themeColor="background1" w:themeShade="D9"/>
                      <w:spacing w:val="-3"/>
                      <w:lang w:eastAsia="en-GB"/>
                    </w:rPr>
                    <w:t>CEA</w:t>
                  </w:r>
                </w:p>
              </w:tc>
              <w:tc>
                <w:tcPr>
                  <w:tcW w:w="924" w:type="dxa"/>
                  <w:tcBorders>
                    <w:bottom w:val="single" w:sz="4" w:space="0" w:color="auto"/>
                  </w:tcBorders>
                </w:tcPr>
                <w:p w14:paraId="4FA1AC1B" w14:textId="77777777" w:rsidR="00843DD7" w:rsidRPr="00450CD8" w:rsidRDefault="00843DD7" w:rsidP="00843DD7">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450CD8">
                    <w:rPr>
                      <w:bCs/>
                      <w:color w:val="D9D9D9" w:themeColor="background1" w:themeShade="D9"/>
                      <w:spacing w:val="-3"/>
                      <w:lang w:eastAsia="en-GB"/>
                    </w:rPr>
                    <w:t>9</w:t>
                  </w:r>
                </w:p>
              </w:tc>
              <w:tc>
                <w:tcPr>
                  <w:tcW w:w="4340" w:type="dxa"/>
                  <w:tcBorders>
                    <w:bottom w:val="single" w:sz="4" w:space="0" w:color="auto"/>
                  </w:tcBorders>
                  <w:shd w:val="clear" w:color="auto" w:fill="FFFFFF" w:themeFill="background1"/>
                </w:tcPr>
                <w:p w14:paraId="085478CE" w14:textId="77777777" w:rsidR="00843DD7" w:rsidRPr="00450CD8" w:rsidRDefault="00843DD7" w:rsidP="00843DD7">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50CD8">
                    <w:rPr>
                      <w:bCs/>
                      <w:color w:val="D9D9D9" w:themeColor="background1" w:themeShade="D9"/>
                      <w:spacing w:val="-3"/>
                      <w:lang w:eastAsia="en-GB"/>
                    </w:rPr>
                    <w:t>D001</w:t>
                  </w:r>
                </w:p>
              </w:tc>
            </w:tr>
            <w:tr w:rsidR="00843DD7" w:rsidRPr="00843DD7" w14:paraId="1EB16143" w14:textId="77777777" w:rsidTr="000E34C6">
              <w:trPr>
                <w:trHeight w:val="329"/>
              </w:trPr>
              <w:tc>
                <w:tcPr>
                  <w:tcW w:w="2017" w:type="dxa"/>
                  <w:tcBorders>
                    <w:bottom w:val="single" w:sz="4" w:space="0" w:color="auto"/>
                  </w:tcBorders>
                </w:tcPr>
                <w:p w14:paraId="6004966C" w14:textId="77777777" w:rsidR="00843DD7" w:rsidRPr="00450CD8"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50CD8">
                    <w:rPr>
                      <w:bCs/>
                      <w:color w:val="000000" w:themeColor="text1"/>
                      <w:spacing w:val="-3"/>
                      <w:lang w:eastAsia="en-GB"/>
                    </w:rPr>
                    <w:t>M. Lavrentiev</w:t>
                  </w:r>
                </w:p>
              </w:tc>
              <w:tc>
                <w:tcPr>
                  <w:tcW w:w="1276" w:type="dxa"/>
                  <w:tcBorders>
                    <w:bottom w:val="single" w:sz="4" w:space="0" w:color="auto"/>
                  </w:tcBorders>
                </w:tcPr>
                <w:p w14:paraId="2B0BA280" w14:textId="77777777" w:rsidR="00843DD7" w:rsidRPr="00450CD8" w:rsidRDefault="00843DD7" w:rsidP="00843DD7">
                  <w:pPr>
                    <w:spacing w:beforeLines="20" w:before="48" w:afterLines="20" w:after="48"/>
                    <w:rPr>
                      <w:bCs/>
                      <w:color w:val="000000" w:themeColor="text1"/>
                      <w:spacing w:val="-3"/>
                      <w:lang w:eastAsia="en-GB"/>
                    </w:rPr>
                  </w:pPr>
                  <w:r w:rsidRPr="00450CD8">
                    <w:rPr>
                      <w:bCs/>
                      <w:color w:val="000000" w:themeColor="text1"/>
                      <w:spacing w:val="-3"/>
                      <w:highlight w:val="cyan"/>
                      <w:lang w:eastAsia="en-GB"/>
                    </w:rPr>
                    <w:t>UKAEA*</w:t>
                  </w:r>
                </w:p>
              </w:tc>
              <w:tc>
                <w:tcPr>
                  <w:tcW w:w="924" w:type="dxa"/>
                  <w:tcBorders>
                    <w:bottom w:val="single" w:sz="4" w:space="0" w:color="auto"/>
                  </w:tcBorders>
                </w:tcPr>
                <w:p w14:paraId="7865C63D" w14:textId="77777777" w:rsidR="00843DD7" w:rsidRPr="00450CD8" w:rsidRDefault="00843DD7" w:rsidP="00843DD7">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450CD8">
                    <w:rPr>
                      <w:bCs/>
                      <w:color w:val="000000" w:themeColor="text1"/>
                      <w:spacing w:val="-3"/>
                      <w:lang w:eastAsia="en-GB"/>
                    </w:rPr>
                    <w:t>6</w:t>
                  </w:r>
                </w:p>
              </w:tc>
              <w:tc>
                <w:tcPr>
                  <w:tcW w:w="4340" w:type="dxa"/>
                  <w:tcBorders>
                    <w:bottom w:val="single" w:sz="4" w:space="0" w:color="auto"/>
                  </w:tcBorders>
                  <w:shd w:val="clear" w:color="auto" w:fill="FFFFFF" w:themeFill="background1"/>
                </w:tcPr>
                <w:p w14:paraId="737305C6" w14:textId="77777777" w:rsidR="00843DD7" w:rsidRPr="00450CD8"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50CD8">
                    <w:rPr>
                      <w:bCs/>
                      <w:color w:val="000000" w:themeColor="text1"/>
                      <w:spacing w:val="-3"/>
                      <w:lang w:eastAsia="en-GB"/>
                    </w:rPr>
                    <w:t>D002</w:t>
                  </w:r>
                </w:p>
              </w:tc>
            </w:tr>
            <w:tr w:rsidR="00843DD7" w:rsidRPr="00843DD7" w14:paraId="20B563A8" w14:textId="77777777" w:rsidTr="000E34C6">
              <w:trPr>
                <w:trHeight w:val="347"/>
              </w:trPr>
              <w:tc>
                <w:tcPr>
                  <w:tcW w:w="2017" w:type="dxa"/>
                  <w:tcBorders>
                    <w:top w:val="single" w:sz="18" w:space="0" w:color="auto"/>
                  </w:tcBorders>
                </w:tcPr>
                <w:p w14:paraId="15ED0336"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76" w:type="dxa"/>
                  <w:tcBorders>
                    <w:top w:val="single" w:sz="18" w:space="0" w:color="auto"/>
                  </w:tcBorders>
                </w:tcPr>
                <w:p w14:paraId="40A0E71D"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924" w:type="dxa"/>
                  <w:tcBorders>
                    <w:top w:val="single" w:sz="18" w:space="0" w:color="auto"/>
                  </w:tcBorders>
                </w:tcPr>
                <w:p w14:paraId="77CF1BB9"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31CDF">
                    <w:rPr>
                      <w:bCs/>
                      <w:color w:val="000000" w:themeColor="text1"/>
                      <w:spacing w:val="-3"/>
                      <w:lang w:eastAsia="en-GB"/>
                    </w:rPr>
                    <w:t>15</w:t>
                  </w:r>
                </w:p>
              </w:tc>
              <w:tc>
                <w:tcPr>
                  <w:tcW w:w="4340" w:type="dxa"/>
                  <w:tcBorders>
                    <w:top w:val="single" w:sz="18" w:space="0" w:color="auto"/>
                  </w:tcBorders>
                </w:tcPr>
                <w:p w14:paraId="5F678064"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69BCEA03"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843DD7">
              <w:rPr>
                <w:bCs/>
                <w:color w:val="000000" w:themeColor="text1"/>
                <w:spacing w:val="-3"/>
                <w:szCs w:val="20"/>
                <w:highlight w:val="cyan"/>
                <w:lang w:val="en-US" w:eastAsia="en-GB"/>
              </w:rPr>
              <w:t xml:space="preserve">* </w:t>
            </w:r>
            <w:proofErr w:type="gramStart"/>
            <w:r w:rsidRPr="00843DD7">
              <w:rPr>
                <w:bCs/>
                <w:color w:val="000000" w:themeColor="text1"/>
                <w:spacing w:val="-3"/>
                <w:szCs w:val="20"/>
                <w:highlight w:val="cyan"/>
                <w:lang w:val="en-US" w:eastAsia="en-GB"/>
              </w:rPr>
              <w:t>only</w:t>
            </w:r>
            <w:proofErr w:type="gramEnd"/>
            <w:r w:rsidRPr="00843DD7">
              <w:rPr>
                <w:bCs/>
                <w:color w:val="000000" w:themeColor="text1"/>
                <w:spacing w:val="-3"/>
                <w:szCs w:val="20"/>
                <w:highlight w:val="cyan"/>
                <w:lang w:val="en-US" w:eastAsia="en-GB"/>
              </w:rPr>
              <w:t xml:space="preserve"> when UKAEA participates in </w:t>
            </w:r>
            <w:proofErr w:type="spellStart"/>
            <w:r w:rsidRPr="00843DD7">
              <w:rPr>
                <w:bCs/>
                <w:color w:val="000000" w:themeColor="text1"/>
                <w:spacing w:val="-3"/>
                <w:szCs w:val="20"/>
                <w:highlight w:val="cyan"/>
                <w:lang w:val="en-US" w:eastAsia="en-GB"/>
              </w:rPr>
              <w:t>EUROfusion</w:t>
            </w:r>
            <w:proofErr w:type="spellEnd"/>
          </w:p>
          <w:p w14:paraId="0F6A67F5"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843DD7">
              <w:rPr>
                <w:b/>
                <w:color w:val="000000" w:themeColor="text1"/>
                <w:spacing w:val="-3"/>
                <w:szCs w:val="20"/>
                <w:lang w:val="en-US" w:eastAsia="en-GB"/>
              </w:rPr>
              <w:t xml:space="preserve">Hardware/ Machine Resources: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843DD7" w:rsidRPr="00843DD7" w14:paraId="40150143" w14:textId="77777777" w:rsidTr="000E34C6">
              <w:trPr>
                <w:trHeight w:val="313"/>
              </w:trPr>
              <w:tc>
                <w:tcPr>
                  <w:tcW w:w="1434" w:type="dxa"/>
                  <w:tcBorders>
                    <w:bottom w:val="single" w:sz="4" w:space="0" w:color="auto"/>
                  </w:tcBorders>
                </w:tcPr>
                <w:p w14:paraId="0022E6F1"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56026339"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34A559FA"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46798CA2"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843DD7" w:rsidRPr="00843DD7" w14:paraId="0DBF9E61" w14:textId="77777777" w:rsidTr="000E34C6">
              <w:trPr>
                <w:trHeight w:val="329"/>
              </w:trPr>
              <w:tc>
                <w:tcPr>
                  <w:tcW w:w="1434" w:type="dxa"/>
                  <w:tcBorders>
                    <w:bottom w:val="single" w:sz="4" w:space="0" w:color="auto"/>
                  </w:tcBorders>
                </w:tcPr>
                <w:p w14:paraId="00DE3C17"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roofErr w:type="spellStart"/>
                  <w:r w:rsidRPr="00831CDF">
                    <w:rPr>
                      <w:b/>
                      <w:bCs/>
                      <w:color w:val="000000" w:themeColor="text1"/>
                      <w:spacing w:val="-3"/>
                      <w:lang w:eastAsia="en-GB"/>
                    </w:rPr>
                    <w:t>n.a.</w:t>
                  </w:r>
                  <w:proofErr w:type="spellEnd"/>
                </w:p>
              </w:tc>
              <w:tc>
                <w:tcPr>
                  <w:tcW w:w="1663" w:type="dxa"/>
                  <w:tcBorders>
                    <w:bottom w:val="single" w:sz="4" w:space="0" w:color="auto"/>
                  </w:tcBorders>
                </w:tcPr>
                <w:p w14:paraId="68B3DC2D" w14:textId="77777777" w:rsidR="00843DD7" w:rsidRPr="00831CDF" w:rsidRDefault="00843DD7" w:rsidP="00843DD7">
                  <w:pPr>
                    <w:spacing w:beforeLines="20" w:before="48" w:afterLines="20" w:after="48"/>
                    <w:rPr>
                      <w:bCs/>
                      <w:color w:val="000000" w:themeColor="text1"/>
                      <w:spacing w:val="-3"/>
                      <w:lang w:eastAsia="en-GB"/>
                    </w:rPr>
                  </w:pPr>
                </w:p>
              </w:tc>
              <w:tc>
                <w:tcPr>
                  <w:tcW w:w="1120" w:type="dxa"/>
                  <w:tcBorders>
                    <w:bottom w:val="single" w:sz="4" w:space="0" w:color="auto"/>
                  </w:tcBorders>
                </w:tcPr>
                <w:p w14:paraId="57128F6D"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bottom w:val="single" w:sz="4" w:space="0" w:color="auto"/>
                  </w:tcBorders>
                  <w:shd w:val="clear" w:color="auto" w:fill="FFFFFF" w:themeFill="background1"/>
                </w:tcPr>
                <w:p w14:paraId="7E152F2C"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B2B983A"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843DD7">
              <w:rPr>
                <w:b/>
                <w:color w:val="000000" w:themeColor="text1"/>
                <w:spacing w:val="-3"/>
                <w:szCs w:val="20"/>
                <w:lang w:val="en-US" w:eastAsia="en-GB"/>
              </w:rPr>
              <w:t xml:space="preserve">Other resources: </w:t>
            </w:r>
          </w:p>
          <w:p w14:paraId="227BAA43"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p>
          <w:p w14:paraId="7D3F80DC"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b/>
                <w:bCs/>
                <w:color w:val="000000" w:themeColor="text1"/>
                <w:spacing w:val="-3"/>
                <w:szCs w:val="20"/>
                <w:lang w:val="en-US" w:eastAsia="en-GB"/>
              </w:rPr>
              <w:t>Collaborations:</w:t>
            </w:r>
          </w:p>
          <w:p w14:paraId="083F84CA"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p w14:paraId="07D5FF72"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b/>
                <w:bCs/>
                <w:color w:val="000000" w:themeColor="text1"/>
                <w:spacing w:val="-3"/>
                <w:szCs w:val="20"/>
                <w:lang w:val="en-US" w:eastAsia="en-GB"/>
              </w:rPr>
              <w:t>Other information:</w:t>
            </w:r>
          </w:p>
          <w:p w14:paraId="48BE09AC" w14:textId="37B56586"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843DD7">
              <w:rPr>
                <w:bCs/>
                <w:color w:val="000000" w:themeColor="text1"/>
                <w:spacing w:val="-3"/>
                <w:szCs w:val="20"/>
                <w:lang w:val="en-US" w:eastAsia="en-GB"/>
              </w:rPr>
              <w:lastRenderedPageBreak/>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0CD8"/>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7F5007"/>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2819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2022-09-12T12:35:00Z</dcterms:created>
  <dcterms:modified xsi:type="dcterms:W3CDTF">2022-09-12T12:35:00Z</dcterms:modified>
</cp:coreProperties>
</file>