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2A3475B0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49679B">
              <w:rPr>
                <w:rFonts w:ascii="Calibri" w:eastAsia="SimSun" w:hAnsi="Calibri" w:cs="Calibri"/>
                <w:color w:val="000000"/>
              </w:rPr>
              <w:t>4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94A04C8" w:rsidR="00381E11" w:rsidRPr="006E6FED" w:rsidRDefault="0049679B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831CDF">
              <w:rPr>
                <w:bCs/>
                <w:spacing w:val="-3"/>
                <w:lang w:eastAsia="en-GB"/>
              </w:rPr>
              <w:t>S. Xu</w:t>
            </w:r>
            <w:r>
              <w:rPr>
                <w:bCs/>
                <w:spacing w:val="-3"/>
                <w:lang w:eastAsia="en-GB"/>
              </w:rPr>
              <w:t xml:space="preserve"> (FZJ)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32DC034B" w14:textId="77777777" w:rsidR="0049679B" w:rsidRPr="0049679B" w:rsidRDefault="0049679B" w:rsidP="0049679B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49679B">
              <w:rPr>
                <w:spacing w:val="-3"/>
                <w:lang w:val="en-US" w:eastAsia="en-GB"/>
              </w:rPr>
              <w:t>Plasma background parameters of W7-X for modelling of impurity migration experiments as well as PSI-2 (FZJ)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49679B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49679B">
                    <w:rPr>
                      <w:color w:val="000000" w:themeColor="text1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49679B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49679B">
                    <w:rPr>
                      <w:color w:val="000000" w:themeColor="text1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C46A3E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C46A3E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49679B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49679B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49679B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49679B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9679B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49679B" w:rsidRDefault="00800E9F" w:rsidP="00800E9F">
                  <w:pPr>
                    <w:spacing w:beforeLines="20" w:before="48" w:afterLines="20" w:after="48" w:line="276" w:lineRule="auto"/>
                    <w:rPr>
                      <w:color w:val="000000" w:themeColor="text1"/>
                      <w:lang w:eastAsia="en-GB"/>
                    </w:rPr>
                  </w:pPr>
                  <w:r w:rsidRPr="0049679B">
                    <w:rPr>
                      <w:color w:val="000000" w:themeColor="text1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9679B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46A3E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2022-09-12T12:47:00Z</dcterms:created>
  <dcterms:modified xsi:type="dcterms:W3CDTF">2022-09-12T12:47:00Z</dcterms:modified>
</cp:coreProperties>
</file>