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24DF9013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FF1AC2">
              <w:rPr>
                <w:rFonts w:ascii="Calibri" w:eastAsia="SimSun" w:hAnsi="Calibri" w:cs="Calibri"/>
                <w:color w:val="000000"/>
              </w:rPr>
              <w:t>5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031E4A50" w:rsidR="00381E11" w:rsidRPr="006F5C45" w:rsidRDefault="00FF1AC2" w:rsidP="006F5C45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>E. Alves</w:t>
            </w:r>
            <w:r>
              <w:rPr>
                <w:bCs/>
                <w:lang w:val="en-GB"/>
              </w:rPr>
              <w:t xml:space="preserve"> (IST)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32F89F71" w14:textId="77777777" w:rsidR="00FF1AC2" w:rsidRPr="00FF1AC2" w:rsidRDefault="00FF1AC2" w:rsidP="00FF1AC2">
            <w:pPr>
              <w:spacing w:line="276" w:lineRule="auto"/>
              <w:jc w:val="both"/>
              <w:rPr>
                <w:lang w:val="en-US"/>
              </w:rPr>
            </w:pPr>
            <w:r w:rsidRPr="00FF1AC2">
              <w:rPr>
                <w:lang w:val="en-US"/>
              </w:rPr>
              <w:t>IST: Characterization of JET divertor tiles 0 and 1 using ion beam analysis (RBS, NRA).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FF1AC2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FF1AC2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FF1AC2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FF1AC2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FF1AC2">
                    <w:rPr>
                      <w:color w:val="000000" w:themeColor="text1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FF1AC2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FF1AC2">
                    <w:rPr>
                      <w:color w:val="000000" w:themeColor="text1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F7ACE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EF7ACE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EF7ACE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FF1AC2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FF1AC2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FF1AC2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FF1AC2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FF1AC2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FF1AC2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FF1AC2">
                    <w:rPr>
                      <w:bCs/>
                      <w:color w:val="000000" w:themeColor="text1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FF1AC2">
                    <w:rPr>
                      <w:bCs/>
                      <w:color w:val="000000" w:themeColor="text1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FF1AC2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FF1AC2">
                    <w:rPr>
                      <w:bCs/>
                      <w:color w:val="000000" w:themeColor="text1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FF1AC2" w:rsidRDefault="004834A0" w:rsidP="004834A0">
                  <w:pPr>
                    <w:spacing w:line="276" w:lineRule="auto"/>
                    <w:rPr>
                      <w:color w:val="000000" w:themeColor="text1"/>
                      <w:lang w:val="en-GB"/>
                    </w:rPr>
                  </w:pPr>
                  <w:r w:rsidRPr="00FF1AC2">
                    <w:rPr>
                      <w:color w:val="000000" w:themeColor="text1"/>
                      <w:lang w:val="en-GB"/>
                    </w:rPr>
                    <w:t>D</w:t>
                  </w:r>
                  <w:r w:rsidRPr="00FF1AC2">
                    <w:rPr>
                      <w:color w:val="000000" w:themeColor="text1"/>
                    </w:rPr>
                    <w:t>00</w:t>
                  </w:r>
                  <w:r w:rsidRPr="00FF1AC2">
                    <w:rPr>
                      <w:color w:val="000000" w:themeColor="text1"/>
                      <w:lang w:val="en-GB"/>
                    </w:rPr>
                    <w:t xml:space="preserve">5 (E. Alves, N. </w:t>
                  </w:r>
                  <w:proofErr w:type="spellStart"/>
                  <w:r w:rsidRPr="00FF1AC2">
                    <w:rPr>
                      <w:color w:val="000000" w:themeColor="text1"/>
                      <w:lang w:val="en-GB"/>
                    </w:rPr>
                    <w:t>Catarino</w:t>
                  </w:r>
                  <w:proofErr w:type="spellEnd"/>
                  <w:r w:rsidRPr="00FF1AC2">
                    <w:rPr>
                      <w:color w:val="000000" w:themeColor="text1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4834A0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EF7ACE"/>
    <w:rsid w:val="00F408CE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4309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2022-09-12T13:16:00Z</dcterms:created>
  <dcterms:modified xsi:type="dcterms:W3CDTF">2022-09-12T13:16:00Z</dcterms:modified>
</cp:coreProperties>
</file>