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5FCF5BB1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</w:t>
            </w:r>
            <w:r w:rsidR="001133C1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1F3ED877" w:rsidR="0024374C" w:rsidRPr="006F5C45" w:rsidRDefault="001133C1" w:rsidP="0024374C">
            <w:pPr>
              <w:spacing w:line="276" w:lineRule="auto"/>
              <w:rPr>
                <w:bCs/>
                <w:lang w:val="en-GB"/>
              </w:rPr>
            </w:pPr>
            <w:r w:rsidRPr="001133C1">
              <w:rPr>
                <w:bCs/>
                <w:lang w:val="en-GB"/>
              </w:rPr>
              <w:t>E. Fortuna-Zaleśna</w:t>
            </w:r>
            <w:r w:rsidRPr="001133C1">
              <w:rPr>
                <w:bCs/>
                <w:lang w:val="en-GB"/>
              </w:rPr>
              <w:t xml:space="preserve"> </w:t>
            </w:r>
            <w:r w:rsidR="0024374C">
              <w:rPr>
                <w:bCs/>
                <w:lang w:val="en-GB"/>
              </w:rPr>
              <w:t>(</w:t>
            </w:r>
            <w:r w:rsidR="007F6EC1">
              <w:rPr>
                <w:bCs/>
                <w:lang w:val="en-GB"/>
              </w:rPr>
              <w:t>I</w:t>
            </w:r>
            <w:r>
              <w:rPr>
                <w:bCs/>
                <w:lang w:val="en-GB"/>
              </w:rPr>
              <w:t>PPLM</w:t>
            </w:r>
            <w:r w:rsidR="0024374C">
              <w:rPr>
                <w:bCs/>
                <w:lang w:val="en-GB"/>
              </w:rPr>
              <w:t>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230FD759" w14:textId="77777777" w:rsidR="001133C1" w:rsidRPr="001133C1" w:rsidRDefault="001133C1" w:rsidP="001133C1">
            <w:pPr>
              <w:spacing w:line="276" w:lineRule="auto"/>
              <w:jc w:val="both"/>
              <w:rPr>
                <w:lang w:val="en-US"/>
              </w:rPr>
            </w:pPr>
            <w:r w:rsidRPr="001133C1">
              <w:rPr>
                <w:lang w:val="en-US"/>
              </w:rPr>
              <w:t>IPPLM: Electron microscopy (SEM, TEM, FIB) of JET plasma facing components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lastRenderedPageBreak/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1133C1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1133C1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1133C1">
                    <w:rPr>
                      <w:color w:val="000000" w:themeColor="text1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1133C1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1133C1">
                    <w:rPr>
                      <w:color w:val="000000" w:themeColor="text1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ISSP-UL: Analysis of JET plasma facing components with TDS,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VTT: Sectioning and preparation of samples from JET divertor tiles. Characterization of JET plasma facing components using SIMS, optical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7F6EC1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1133C1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1133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1133C1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1133C1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1133C1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1133C1">
                    <w:rPr>
                      <w:bCs/>
                      <w:color w:val="000000" w:themeColor="text1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1133C1">
                    <w:rPr>
                      <w:bCs/>
                      <w:color w:val="000000" w:themeColor="text1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1133C1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1133C1">
                    <w:rPr>
                      <w:bCs/>
                      <w:color w:val="000000" w:themeColor="text1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1133C1" w:rsidRDefault="0024374C" w:rsidP="0024374C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1133C1">
                    <w:rPr>
                      <w:color w:val="000000" w:themeColor="text1"/>
                      <w:lang w:val="de-DE"/>
                    </w:rPr>
                    <w:t xml:space="preserve">D004 (E. Fortuna-Zaleśna, J. </w:t>
                  </w:r>
                  <w:proofErr w:type="spellStart"/>
                  <w:r w:rsidRPr="001133C1">
                    <w:rPr>
                      <w:color w:val="000000" w:themeColor="text1"/>
                      <w:lang w:val="de-DE"/>
                    </w:rPr>
                    <w:t>Zdunek</w:t>
                  </w:r>
                  <w:proofErr w:type="spellEnd"/>
                  <w:r w:rsidRPr="001133C1">
                    <w:rPr>
                      <w:color w:val="000000" w:themeColor="text1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5 (E.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6 (E. Alves, N.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24374C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9 (D.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 xml:space="preserve">ITER, </w:t>
            </w:r>
            <w:proofErr w:type="gramStart"/>
            <w:r w:rsidRPr="00530428">
              <w:rPr>
                <w:bCs/>
                <w:lang w:val="en-GB"/>
              </w:rPr>
              <w:t>WPTE ,</w:t>
            </w:r>
            <w:proofErr w:type="gramEnd"/>
            <w:r w:rsidRPr="00530428">
              <w:rPr>
                <w:bCs/>
                <w:lang w:val="en-GB"/>
              </w:rPr>
              <w:t xml:space="preserve">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33C1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2022-09-20T07:48:00Z</dcterms:created>
  <dcterms:modified xsi:type="dcterms:W3CDTF">2022-09-20T07:48:00Z</dcterms:modified>
</cp:coreProperties>
</file>