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8632A" w14:textId="77777777" w:rsidR="00147E7D" w:rsidRDefault="009E3FDB" w:rsidP="00147E7D">
      <w:pPr>
        <w:spacing w:after="0" w:line="288" w:lineRule="auto"/>
        <w:rPr>
          <w:b/>
          <w:sz w:val="52"/>
        </w:rPr>
      </w:pPr>
      <w:r>
        <w:rPr>
          <w:b/>
          <w:sz w:val="52"/>
        </w:rPr>
        <w:t>2027 activity priorities (continued)</w:t>
      </w:r>
    </w:p>
    <w:p w14:paraId="1C6ECCC1" w14:textId="27D11043" w:rsidR="008C323E" w:rsidRDefault="00147E7D" w:rsidP="00147E7D">
      <w:pPr>
        <w:spacing w:after="480" w:line="288" w:lineRule="auto"/>
      </w:pPr>
      <w:r>
        <w:rPr>
          <w:b/>
          <w:sz w:val="52"/>
        </w:rPr>
        <w:t>Draft Minutes</w:t>
      </w:r>
    </w:p>
    <w:p w14:paraId="61B1B957" w14:textId="77777777" w:rsidR="008C323E" w:rsidRDefault="009E3FDB">
      <w:pPr>
        <w:pStyle w:val="Heading2"/>
        <w:spacing w:before="120" w:after="120" w:line="288" w:lineRule="auto"/>
      </w:pPr>
      <w:bookmarkStart w:id="0" w:name="_Toc1"/>
      <w:r>
        <w:t>Key Takeaways</w:t>
      </w:r>
      <w:bookmarkEnd w:id="0"/>
    </w:p>
    <w:p w14:paraId="7A202567" w14:textId="77777777" w:rsidR="008C323E" w:rsidRDefault="009E3FDB">
      <w:pPr>
        <w:pStyle w:val="ListParagraph"/>
        <w:numPr>
          <w:ilvl w:val="0"/>
          <w:numId w:val="1"/>
        </w:numPr>
        <w:spacing w:before="120" w:after="120" w:line="288" w:lineRule="auto"/>
      </w:pPr>
      <w:r>
        <w:t>The meeting focused on 2027 activity priorities under the FP9 Budget Extension reserve list framework, continuing discussions from a previous session.</w:t>
      </w:r>
    </w:p>
    <w:p w14:paraId="3E47E8B7" w14:textId="77777777" w:rsidR="008C323E" w:rsidRDefault="009E3FDB">
      <w:pPr>
        <w:pStyle w:val="ListParagraph"/>
        <w:numPr>
          <w:ilvl w:val="0"/>
          <w:numId w:val="2"/>
        </w:numPr>
        <w:spacing w:before="120" w:after="120" w:line="288" w:lineRule="auto"/>
      </w:pPr>
      <w:r>
        <w:t>Budget priorities 1–4 remain unchanged and accepted by the PMU; priorities 5 and 6 require further input before relative prioritization can be completed.</w:t>
      </w:r>
    </w:p>
    <w:p w14:paraId="67B7778A" w14:textId="77777777" w:rsidR="008C323E" w:rsidRDefault="009E3FDB">
      <w:pPr>
        <w:pStyle w:val="ListParagraph"/>
        <w:numPr>
          <w:ilvl w:val="0"/>
          <w:numId w:val="3"/>
        </w:numPr>
        <w:spacing w:before="120" w:after="120" w:line="288" w:lineRule="auto"/>
      </w:pPr>
      <w:r>
        <w:t>No indication of available budget volume for priorities 5 and 6 has been received; the Bureau meeting on Friday is expected to provide initial guidance.</w:t>
      </w:r>
    </w:p>
    <w:p w14:paraId="0471D8C8" w14:textId="72AEC325" w:rsidR="008C323E" w:rsidRDefault="009E3FDB">
      <w:pPr>
        <w:pStyle w:val="ListParagraph"/>
        <w:numPr>
          <w:ilvl w:val="0"/>
          <w:numId w:val="4"/>
        </w:numPr>
        <w:spacing w:before="120" w:after="120" w:line="288" w:lineRule="auto"/>
      </w:pPr>
      <w:r>
        <w:t>Xavier</w:t>
      </w:r>
      <w:r w:rsidR="00147E7D">
        <w:t xml:space="preserve"> Litaudon</w:t>
      </w:r>
      <w:r>
        <w:t xml:space="preserve"> (WPTM/TSVV) presented a detailed analysis of the impact of a ~28% PPY reduction in 2027 on TSVV deliverables, code capabilities, and scientific topics, noting nonlinear effects on scientific coherence and cross-team collaboration.</w:t>
      </w:r>
    </w:p>
    <w:p w14:paraId="1E96167F" w14:textId="77777777" w:rsidR="008C323E" w:rsidRDefault="009E3FDB">
      <w:pPr>
        <w:pStyle w:val="ListParagraph"/>
        <w:numPr>
          <w:ilvl w:val="0"/>
          <w:numId w:val="5"/>
        </w:numPr>
        <w:spacing w:before="120" w:after="120" w:line="288" w:lineRule="auto"/>
      </w:pPr>
      <w:r>
        <w:t>Key risks from TSVV budget constraints include: loss of participants due to insufficient involvement, reduced code training and dissemination, discontinuity of theory/simulation/validation activities, and potential loss of UKAEA involvement in TSVV-H (HFPS).</w:t>
      </w:r>
    </w:p>
    <w:p w14:paraId="7EE9D58F" w14:textId="525789B1" w:rsidR="008C323E" w:rsidRDefault="009E3FDB">
      <w:pPr>
        <w:pStyle w:val="ListParagraph"/>
        <w:numPr>
          <w:ilvl w:val="0"/>
          <w:numId w:val="6"/>
        </w:numPr>
        <w:spacing w:before="120" w:after="120" w:line="288" w:lineRule="auto"/>
      </w:pPr>
      <w:r>
        <w:t xml:space="preserve">Frank Jenko (DSO) presented priority tasks for the Digital Solutions for Fusion Office, including: mission funding gap of 28K€, 15K€ for ACH travel support, and a strong call for increased AI investment (AI projects cut from 14 to 2 during the FP9 transition). He highlighted the US Genesis Mission ($2B/year) as a benchmark and proposed AI-assisted </w:t>
      </w:r>
      <w:proofErr w:type="spellStart"/>
      <w:r>
        <w:t>IMASification</w:t>
      </w:r>
      <w:proofErr w:type="spellEnd"/>
      <w:r>
        <w:t xml:space="preserve"> of JET data, agentic AI for code development, as high-priority items.</w:t>
      </w:r>
    </w:p>
    <w:p w14:paraId="6BB2BD77" w14:textId="28F713BA" w:rsidR="008C323E" w:rsidRDefault="009E3FDB">
      <w:pPr>
        <w:pStyle w:val="ListParagraph"/>
        <w:numPr>
          <w:ilvl w:val="0"/>
          <w:numId w:val="7"/>
        </w:numPr>
        <w:spacing w:before="120" w:after="120" w:line="288" w:lineRule="auto"/>
      </w:pPr>
      <w:r>
        <w:t>Carlo</w:t>
      </w:r>
      <w:r w:rsidR="00147E7D">
        <w:t xml:space="preserve"> Sozzi</w:t>
      </w:r>
      <w:r>
        <w:t xml:space="preserve"> (WPSA) presented the 2027 diagnostics plan, covering systems approved for OP3 installation (FILD, Gamma Spectrometer, Runaway Electron Monitor), systems in advanced approval for OP4, and a list of new diagnostic proposals with no current budget in 26–27 (requiring ~48 PMs additional support).</w:t>
      </w:r>
    </w:p>
    <w:p w14:paraId="431B7B70" w14:textId="713D0A2C" w:rsidR="008C323E" w:rsidRDefault="009E3FDB">
      <w:pPr>
        <w:pStyle w:val="ListParagraph"/>
        <w:numPr>
          <w:ilvl w:val="0"/>
          <w:numId w:val="8"/>
        </w:numPr>
        <w:spacing w:before="120" w:after="120" w:line="288" w:lineRule="auto"/>
      </w:pPr>
      <w:r>
        <w:t>Carlo noted that Fusion for Energy (F4E) contracts are expected to cover engineering/procurement for several systems, but not installation costs; S</w:t>
      </w:r>
      <w:r w:rsidR="00147E7D">
        <w:t>N</w:t>
      </w:r>
      <w:r>
        <w:t>E</w:t>
      </w:r>
      <w:r w:rsidR="00B83CB1">
        <w:t xml:space="preserve"> (Seconded National Expert)</w:t>
      </w:r>
      <w:r>
        <w:t xml:space="preserve"> coverage is being explored.</w:t>
      </w:r>
    </w:p>
    <w:p w14:paraId="105B3F3F" w14:textId="529E0D72" w:rsidR="008C323E" w:rsidRDefault="009E3FDB">
      <w:pPr>
        <w:pStyle w:val="ListParagraph"/>
        <w:numPr>
          <w:ilvl w:val="0"/>
          <w:numId w:val="9"/>
        </w:numPr>
        <w:spacing w:before="120" w:after="120" w:line="288" w:lineRule="auto"/>
      </w:pPr>
      <w:r>
        <w:t>Sebastijan</w:t>
      </w:r>
      <w:r w:rsidR="00147E7D">
        <w:t xml:space="preserve"> </w:t>
      </w:r>
      <w:r w:rsidR="00147E7D" w:rsidRPr="00147E7D">
        <w:t xml:space="preserve">Brezinsek </w:t>
      </w:r>
      <w:r>
        <w:t>(WPPWIE) provided an update on JET post-mortem analysis, including a budget redistribution plan using unspent container funds (~68K€ total) to cover LIBS analysis, runaway damage studies, and reference tritium sample production. He also flagged that ITER has stressed the importance of JET dust analysis for their licensing procedure, which was not originally in scope.</w:t>
      </w:r>
    </w:p>
    <w:p w14:paraId="17961946" w14:textId="0AFDDEE1" w:rsidR="008C323E" w:rsidRDefault="009E3FDB">
      <w:pPr>
        <w:pStyle w:val="ListParagraph"/>
        <w:numPr>
          <w:ilvl w:val="0"/>
          <w:numId w:val="10"/>
        </w:numPr>
        <w:spacing w:before="120" w:after="120" w:line="288" w:lineRule="auto"/>
      </w:pPr>
      <w:r>
        <w:lastRenderedPageBreak/>
        <w:t>Emmanuelle</w:t>
      </w:r>
      <w:r w:rsidR="00147E7D">
        <w:t xml:space="preserve"> Tsitrone</w:t>
      </w:r>
      <w:r>
        <w:t xml:space="preserve"> and Nicola</w:t>
      </w:r>
      <w:r w:rsidR="00147E7D">
        <w:t xml:space="preserve"> Vianello</w:t>
      </w:r>
      <w:r>
        <w:t xml:space="preserve"> (WPTE) presented a detailed assessment of the impact of reduced experimental time on TE devices in 2027 across three scenarios (Scenario 0/1: 27.5–30%, Scenario 2: 35%, Scenario 4: 40%/35%). Scenario 0/1 results in significant reductions across ITER-relevant topics including integrated scenarios, tungsten control, disruption/runaway mitigation, and wall conditioning.</w:t>
      </w:r>
    </w:p>
    <w:p w14:paraId="74544D8C" w14:textId="485C2273" w:rsidR="008C323E" w:rsidRDefault="009E3FDB">
      <w:pPr>
        <w:pStyle w:val="ListParagraph"/>
        <w:numPr>
          <w:ilvl w:val="0"/>
          <w:numId w:val="11"/>
        </w:numPr>
        <w:spacing w:before="120" w:after="120" w:line="288" w:lineRule="auto"/>
      </w:pPr>
      <w:r>
        <w:t>A discussion was held on JT-60SA tungsten phase scientific priorities, with participants providing feedback on formulation of four high-level priority items. Suggestions included: explicit mention of ITER relevance and avoidance of the term "DEMO" given differing EU/Japanese definitions.</w:t>
      </w:r>
    </w:p>
    <w:p w14:paraId="410FCDD0" w14:textId="77777777" w:rsidR="008C323E" w:rsidRDefault="008C323E">
      <w:pPr>
        <w:pBdr>
          <w:bottom w:val="single" w:sz="6" w:space="1" w:color="000000"/>
          <w:between w:val="single" w:sz="6" w:space="1" w:color="000000"/>
        </w:pBdr>
        <w:spacing w:before="120" w:after="120" w:line="288" w:lineRule="auto"/>
      </w:pPr>
    </w:p>
    <w:p w14:paraId="165788BF" w14:textId="77777777" w:rsidR="008C323E" w:rsidRDefault="009E3FDB">
      <w:pPr>
        <w:pStyle w:val="Heading2"/>
        <w:spacing w:before="120" w:after="120" w:line="288" w:lineRule="auto"/>
      </w:pPr>
      <w:bookmarkStart w:id="1" w:name="_Toc2"/>
      <w:r>
        <w:t>Q &amp; A Summary</w:t>
      </w:r>
      <w:bookmarkEnd w:id="1"/>
    </w:p>
    <w:p w14:paraId="3725B53E" w14:textId="77777777" w:rsidR="008C323E" w:rsidRDefault="009E3FDB">
      <w:pPr>
        <w:pStyle w:val="Heading3"/>
        <w:spacing w:before="120" w:after="120" w:line="288" w:lineRule="auto"/>
      </w:pPr>
      <w:bookmarkStart w:id="2" w:name="_Toc3"/>
      <w:r>
        <w:t>Budget Status and Prioritization Process</w:t>
      </w:r>
      <w:bookmarkEnd w:id="2"/>
    </w:p>
    <w:p w14:paraId="3CA6EBA8" w14:textId="77777777" w:rsidR="008C323E" w:rsidRDefault="009E3FDB">
      <w:pPr>
        <w:spacing w:before="120" w:after="120" w:line="288" w:lineRule="auto"/>
      </w:pPr>
      <w:r>
        <w:rPr>
          <w:b/>
          <w:bCs/>
        </w:rPr>
        <w:t>Sebastijan</w:t>
      </w:r>
      <w:r>
        <w:t>: Are the FTD budget requests truly additional (on top of unallocated existing budget), and why do some items reference 2026 if the reserve list is for 2027?</w:t>
      </w:r>
    </w:p>
    <w:p w14:paraId="6AAB6797" w14:textId="7F428D2A" w:rsidR="008C323E" w:rsidRDefault="009E3FDB">
      <w:pPr>
        <w:spacing w:before="120" w:after="120" w:line="288" w:lineRule="auto"/>
      </w:pPr>
      <w:r>
        <w:rPr>
          <w:b/>
          <w:bCs/>
        </w:rPr>
        <w:t>Marco</w:t>
      </w:r>
      <w:r>
        <w:t>: Confirmed that the reserve list is explicitly for 2027. The presence of 2026 items in FTD slides is unclear and not understood. FTD still has unallocated budget from ongoing calls, and these requests are on top of that.</w:t>
      </w:r>
    </w:p>
    <w:p w14:paraId="4CB20AB5" w14:textId="77777777" w:rsidR="008C323E" w:rsidRDefault="008C323E">
      <w:pPr>
        <w:pBdr>
          <w:bottom w:val="single" w:sz="6" w:space="1" w:color="000000"/>
          <w:between w:val="single" w:sz="6" w:space="1" w:color="000000"/>
        </w:pBdr>
        <w:spacing w:before="120" w:after="120" w:line="288" w:lineRule="auto"/>
      </w:pPr>
    </w:p>
    <w:p w14:paraId="6551AF72" w14:textId="1227FCF5" w:rsidR="008C323E" w:rsidRDefault="00147E7D">
      <w:pPr>
        <w:spacing w:before="120" w:after="120" w:line="288" w:lineRule="auto"/>
      </w:pPr>
      <w:r>
        <w:rPr>
          <w:b/>
          <w:bCs/>
        </w:rPr>
        <w:t>Question</w:t>
      </w:r>
      <w:r w:rsidR="009E3FDB">
        <w:t>: What is the expected outcome of the Bureau meeting and the GA process for the reserve list?</w:t>
      </w:r>
    </w:p>
    <w:p w14:paraId="09C4A59F" w14:textId="4ED1CF88" w:rsidR="008C323E" w:rsidRDefault="009E3FDB">
      <w:pPr>
        <w:spacing w:before="120" w:after="120" w:line="288" w:lineRule="auto"/>
      </w:pPr>
      <w:r>
        <w:rPr>
          <w:b/>
          <w:bCs/>
        </w:rPr>
        <w:t>Marco</w:t>
      </w:r>
      <w:r>
        <w:t>: Three reserve list proposals will be presented as a complete list without internal prioritization. The GA may ask STAC, or STAC together with PMU, to provide a prioritization. No indication of available budget volume exists yet. The PMU is unlikely to provide prioritization independently. The GA in October will have clearer information once DTT underspending is confirmed and the question of repurposing 2021–2025 budget for 2026–2027 is resolved with the European Commission.</w:t>
      </w:r>
    </w:p>
    <w:p w14:paraId="58128C3E" w14:textId="77777777" w:rsidR="008C323E" w:rsidRDefault="008C323E">
      <w:pPr>
        <w:pBdr>
          <w:bottom w:val="single" w:sz="6" w:space="1" w:color="000000"/>
          <w:between w:val="single" w:sz="6" w:space="1" w:color="000000"/>
        </w:pBdr>
        <w:spacing w:before="120" w:after="120" w:line="288" w:lineRule="auto"/>
      </w:pPr>
    </w:p>
    <w:p w14:paraId="5A9B0B4D" w14:textId="77777777" w:rsidR="008C323E" w:rsidRDefault="009E3FDB">
      <w:pPr>
        <w:pStyle w:val="Heading3"/>
        <w:spacing w:before="120" w:after="120" w:line="288" w:lineRule="auto"/>
      </w:pPr>
      <w:bookmarkStart w:id="3" w:name="_Toc4"/>
      <w:r>
        <w:t>TSVV Budget Constraints and Impact (WPTM)</w:t>
      </w:r>
      <w:bookmarkEnd w:id="3"/>
    </w:p>
    <w:p w14:paraId="090D6E94" w14:textId="4DD05E3B" w:rsidR="008C323E" w:rsidRDefault="009E3FDB">
      <w:pPr>
        <w:spacing w:before="120" w:after="120" w:line="288" w:lineRule="auto"/>
      </w:pPr>
      <w:r>
        <w:rPr>
          <w:b/>
          <w:bCs/>
        </w:rPr>
        <w:t>Marco</w:t>
      </w:r>
      <w:r>
        <w:t>: Can you upload the TSVV slides to Indico for reference in future reprioritization discussions?</w:t>
      </w:r>
    </w:p>
    <w:p w14:paraId="6357E2EE" w14:textId="77777777" w:rsidR="008C323E" w:rsidRDefault="009E3FDB">
      <w:pPr>
        <w:spacing w:before="120" w:after="120" w:line="288" w:lineRule="auto"/>
      </w:pPr>
      <w:r>
        <w:rPr>
          <w:b/>
          <w:bCs/>
        </w:rPr>
        <w:t>Xavier</w:t>
      </w:r>
      <w:r>
        <w:t>: Confirmed the slides are available and can be uploaded.</w:t>
      </w:r>
    </w:p>
    <w:p w14:paraId="3DA9A305" w14:textId="77777777" w:rsidR="008C323E" w:rsidRDefault="008C323E">
      <w:pPr>
        <w:pBdr>
          <w:bottom w:val="single" w:sz="6" w:space="1" w:color="000000"/>
          <w:between w:val="single" w:sz="6" w:space="1" w:color="000000"/>
        </w:pBdr>
        <w:spacing w:before="120" w:after="120" w:line="288" w:lineRule="auto"/>
      </w:pPr>
    </w:p>
    <w:p w14:paraId="2FDFD980" w14:textId="6659FB1D" w:rsidR="008C323E" w:rsidRDefault="009E3FDB">
      <w:pPr>
        <w:spacing w:before="120" w:after="120" w:line="288" w:lineRule="auto"/>
      </w:pPr>
      <w:r>
        <w:rPr>
          <w:b/>
          <w:bCs/>
        </w:rPr>
        <w:t>Marco</w:t>
      </w:r>
      <w:r>
        <w:t>: Is the ~900K€ TSVV budget request inclusive of the PL and PSO salary costs?</w:t>
      </w:r>
    </w:p>
    <w:p w14:paraId="39A7BF71" w14:textId="77777777" w:rsidR="008C323E" w:rsidRDefault="009E3FDB">
      <w:pPr>
        <w:spacing w:before="120" w:after="120" w:line="288" w:lineRule="auto"/>
      </w:pPr>
      <w:r>
        <w:rPr>
          <w:b/>
          <w:bCs/>
        </w:rPr>
        <w:lastRenderedPageBreak/>
        <w:t>Xavier</w:t>
      </w:r>
      <w:r>
        <w:t>: Confirmed the total includes PSO and PL costs.</w:t>
      </w:r>
    </w:p>
    <w:p w14:paraId="736837E0" w14:textId="75381B45" w:rsidR="008C323E" w:rsidRDefault="009E3FDB">
      <w:pPr>
        <w:spacing w:before="120" w:after="120" w:line="288" w:lineRule="auto"/>
      </w:pPr>
      <w:r>
        <w:rPr>
          <w:b/>
          <w:bCs/>
        </w:rPr>
        <w:t>Marco</w:t>
      </w:r>
      <w:r>
        <w:t>: Clarified that the PL/PSO salary items are treated as a separate "priority zero" category, not part of the reserve list discussion proper.</w:t>
      </w:r>
    </w:p>
    <w:p w14:paraId="003486D0" w14:textId="77777777" w:rsidR="008C323E" w:rsidRDefault="008C323E">
      <w:pPr>
        <w:pBdr>
          <w:bottom w:val="single" w:sz="6" w:space="1" w:color="000000"/>
          <w:between w:val="single" w:sz="6" w:space="1" w:color="000000"/>
        </w:pBdr>
        <w:spacing w:before="120" w:after="120" w:line="288" w:lineRule="auto"/>
      </w:pPr>
    </w:p>
    <w:p w14:paraId="7A24858B" w14:textId="77777777" w:rsidR="008C323E" w:rsidRDefault="009E3FDB">
      <w:pPr>
        <w:spacing w:before="120" w:after="120" w:line="288" w:lineRule="auto"/>
      </w:pPr>
      <w:r>
        <w:rPr>
          <w:b/>
          <w:bCs/>
        </w:rPr>
        <w:t>Sebastijan</w:t>
      </w:r>
      <w:r>
        <w:t>: Should the TSVV impact analysis also include consequences for ACH and HPC usage, to show that reduced manpower leads to reduced computational resource utilization?</w:t>
      </w:r>
    </w:p>
    <w:p w14:paraId="6624173D" w14:textId="77777777" w:rsidR="008C323E" w:rsidRDefault="009E3FDB">
      <w:pPr>
        <w:spacing w:before="120" w:after="120" w:line="288" w:lineRule="auto"/>
      </w:pPr>
      <w:r>
        <w:rPr>
          <w:b/>
          <w:bCs/>
        </w:rPr>
        <w:t>Xavier</w:t>
      </w:r>
      <w:r>
        <w:t>: Agreed this is a good point and committed to adding a slide showing the balance between TSVV budget and HPC/ACH resource usage.</w:t>
      </w:r>
    </w:p>
    <w:p w14:paraId="119C5D0C" w14:textId="77777777" w:rsidR="008C323E" w:rsidRDefault="008C323E">
      <w:pPr>
        <w:pBdr>
          <w:bottom w:val="single" w:sz="6" w:space="1" w:color="000000"/>
          <w:between w:val="single" w:sz="6" w:space="1" w:color="000000"/>
        </w:pBdr>
        <w:spacing w:before="120" w:after="120" w:line="288" w:lineRule="auto"/>
      </w:pPr>
    </w:p>
    <w:p w14:paraId="36AA5FB0" w14:textId="77777777" w:rsidR="008C323E" w:rsidRDefault="009E3FDB">
      <w:pPr>
        <w:spacing w:before="120" w:after="120" w:line="288" w:lineRule="auto"/>
      </w:pPr>
      <w:r>
        <w:rPr>
          <w:b/>
          <w:bCs/>
        </w:rPr>
        <w:t>Sebastijan</w:t>
      </w:r>
      <w:r>
        <w:t>: Could savings be achieved by holding only one general TSVV meeting across the two-year period (2026–2027) instead of one per year?</w:t>
      </w:r>
    </w:p>
    <w:p w14:paraId="4125C3F8" w14:textId="77777777" w:rsidR="008C323E" w:rsidRDefault="009E3FDB">
      <w:pPr>
        <w:spacing w:before="120" w:after="120" w:line="288" w:lineRule="auto"/>
      </w:pPr>
      <w:r>
        <w:rPr>
          <w:b/>
          <w:bCs/>
        </w:rPr>
        <w:t>Xavier</w:t>
      </w:r>
      <w:r>
        <w:t>: Acknowledged this could save mission costs.</w:t>
      </w:r>
    </w:p>
    <w:p w14:paraId="60DBE38C" w14:textId="352AE824" w:rsidR="008C323E" w:rsidRDefault="009E3FDB">
      <w:pPr>
        <w:spacing w:before="120" w:after="120" w:line="288" w:lineRule="auto"/>
      </w:pPr>
      <w:r>
        <w:rPr>
          <w:b/>
          <w:bCs/>
        </w:rPr>
        <w:t>Gloria</w:t>
      </w:r>
      <w:r>
        <w:t xml:space="preserve">: Noted that the total mission budget is approximately 90K€, half the TSVVs have already held their annual meeting, and the saving would not be large. </w:t>
      </w:r>
      <w:r w:rsidR="00531112">
        <w:t>F</w:t>
      </w:r>
      <w:r w:rsidR="00531112" w:rsidRPr="00531112">
        <w:t>or those who have not yet hold a meeting to have only one over the two years</w:t>
      </w:r>
      <w:r w:rsidR="00531112">
        <w:t xml:space="preserve"> can be an option.</w:t>
      </w:r>
    </w:p>
    <w:p w14:paraId="6EB5659F" w14:textId="77777777" w:rsidR="008C323E" w:rsidRDefault="008C323E">
      <w:pPr>
        <w:pBdr>
          <w:bottom w:val="single" w:sz="6" w:space="1" w:color="000000"/>
          <w:between w:val="single" w:sz="6" w:space="1" w:color="000000"/>
        </w:pBdr>
        <w:spacing w:before="120" w:after="120" w:line="288" w:lineRule="auto"/>
      </w:pPr>
    </w:p>
    <w:p w14:paraId="400876F4" w14:textId="77777777" w:rsidR="008C323E" w:rsidRDefault="009E3FDB">
      <w:pPr>
        <w:spacing w:before="120" w:after="120" w:line="288" w:lineRule="auto"/>
      </w:pPr>
      <w:r>
        <w:rPr>
          <w:b/>
          <w:bCs/>
        </w:rPr>
        <w:t>Marcin</w:t>
      </w:r>
      <w:r>
        <w:t>: Should the TSVV impact analysis indicate which items are on the critical path for ITER or modeling readiness?</w:t>
      </w:r>
    </w:p>
    <w:p w14:paraId="1FC84197" w14:textId="047B0BAC" w:rsidR="008C323E" w:rsidRDefault="009E3FDB">
      <w:pPr>
        <w:spacing w:before="120" w:after="120" w:line="288" w:lineRule="auto"/>
      </w:pPr>
      <w:r>
        <w:rPr>
          <w:b/>
          <w:bCs/>
        </w:rPr>
        <w:t>Xavier</w:t>
      </w:r>
      <w:r>
        <w:t xml:space="preserve">: Acknowledged the suggestion but noted the difficulty in defining "critical path" without a clear reference target. </w:t>
      </w:r>
    </w:p>
    <w:p w14:paraId="6088F440" w14:textId="77777777" w:rsidR="008C323E" w:rsidRDefault="008C323E">
      <w:pPr>
        <w:pBdr>
          <w:bottom w:val="single" w:sz="6" w:space="1" w:color="000000"/>
          <w:between w:val="single" w:sz="6" w:space="1" w:color="000000"/>
        </w:pBdr>
        <w:spacing w:before="120" w:after="120" w:line="288" w:lineRule="auto"/>
      </w:pPr>
    </w:p>
    <w:p w14:paraId="010F3683" w14:textId="3EC056B7" w:rsidR="008C323E" w:rsidRDefault="009E3FDB">
      <w:pPr>
        <w:pStyle w:val="Heading3"/>
        <w:spacing w:before="120" w:after="120" w:line="288" w:lineRule="auto"/>
      </w:pPr>
      <w:bookmarkStart w:id="4" w:name="_Toc5"/>
      <w:r>
        <w:t>DSO Priorities and AI (Fran</w:t>
      </w:r>
      <w:r w:rsidR="009463D0">
        <w:t>k</w:t>
      </w:r>
      <w:r>
        <w:t>)</w:t>
      </w:r>
      <w:bookmarkEnd w:id="4"/>
    </w:p>
    <w:p w14:paraId="3FAAEB59" w14:textId="28D1E2B3" w:rsidR="008C323E" w:rsidRDefault="009E3FDB">
      <w:pPr>
        <w:spacing w:before="120" w:after="120" w:line="288" w:lineRule="auto"/>
      </w:pPr>
      <w:r>
        <w:rPr>
          <w:b/>
          <w:bCs/>
        </w:rPr>
        <w:t>Marco</w:t>
      </w:r>
      <w:r>
        <w:t>: Has the potential of AI tools (e.g., Claude Code, agentic AI) to accelerate code development been discussed within the TSVVs, and could it affect the originally estimated coding timelines?</w:t>
      </w:r>
    </w:p>
    <w:p w14:paraId="1B13922C" w14:textId="77777777" w:rsidR="008C323E" w:rsidRDefault="009E3FDB">
      <w:pPr>
        <w:spacing w:before="120" w:after="120" w:line="288" w:lineRule="auto"/>
      </w:pPr>
      <w:r>
        <w:rPr>
          <w:b/>
          <w:bCs/>
        </w:rPr>
        <w:t>Xavier</w:t>
      </w:r>
      <w:r>
        <w:t>: Confirmed this had not been considered in the TSVV planning but agreed from personal experience that AI tools could save significant time.</w:t>
      </w:r>
    </w:p>
    <w:p w14:paraId="58DB62F2" w14:textId="77777777" w:rsidR="008C323E" w:rsidRDefault="009E3FDB">
      <w:pPr>
        <w:spacing w:before="120" w:after="120" w:line="288" w:lineRule="auto"/>
      </w:pPr>
      <w:r>
        <w:rPr>
          <w:b/>
          <w:bCs/>
        </w:rPr>
        <w:t>Frank</w:t>
      </w:r>
      <w:r>
        <w:t>: Added a clarification that reduced TSVV activity would not meaningfully reduce HPC utilization, as the systems are already heavily oversubscribed; a 20% reduction would still leave them oversubscribed.</w:t>
      </w:r>
    </w:p>
    <w:p w14:paraId="736FCA42" w14:textId="77777777" w:rsidR="008C323E" w:rsidRDefault="008C323E">
      <w:pPr>
        <w:pBdr>
          <w:bottom w:val="single" w:sz="6" w:space="1" w:color="000000"/>
          <w:between w:val="single" w:sz="6" w:space="1" w:color="000000"/>
        </w:pBdr>
        <w:spacing w:before="120" w:after="120" w:line="288" w:lineRule="auto"/>
      </w:pPr>
    </w:p>
    <w:p w14:paraId="22AF38D8" w14:textId="77777777" w:rsidR="008C323E" w:rsidRDefault="009E3FDB">
      <w:pPr>
        <w:pStyle w:val="Heading3"/>
        <w:spacing w:before="120" w:after="120" w:line="288" w:lineRule="auto"/>
      </w:pPr>
      <w:bookmarkStart w:id="5" w:name="_Toc6"/>
      <w:r>
        <w:lastRenderedPageBreak/>
        <w:t>WPSA Diagnostics (Carlo)</w:t>
      </w:r>
      <w:bookmarkEnd w:id="5"/>
    </w:p>
    <w:p w14:paraId="37247B7B" w14:textId="46E155BC" w:rsidR="008C323E" w:rsidRDefault="009E3FDB">
      <w:pPr>
        <w:spacing w:before="120" w:after="120" w:line="288" w:lineRule="auto"/>
      </w:pPr>
      <w:r>
        <w:rPr>
          <w:b/>
          <w:bCs/>
        </w:rPr>
        <w:t>Marco</w:t>
      </w:r>
      <w:r>
        <w:t xml:space="preserve">: Can you clarify how </w:t>
      </w:r>
      <w:r w:rsidR="009463D0">
        <w:t>the SNE impacts</w:t>
      </w:r>
      <w:r>
        <w:t xml:space="preserve"> the mission and salary cost</w:t>
      </w:r>
      <w:r w:rsidR="009463D0">
        <w:t>s</w:t>
      </w:r>
      <w:r>
        <w:t xml:space="preserve"> </w:t>
      </w:r>
      <w:r w:rsidR="009463D0">
        <w:t>in</w:t>
      </w:r>
      <w:r>
        <w:t xml:space="preserve"> the SA budget?</w:t>
      </w:r>
    </w:p>
    <w:p w14:paraId="0DA1DC54" w14:textId="391A2A31" w:rsidR="008C323E" w:rsidRDefault="009E3FDB">
      <w:pPr>
        <w:spacing w:before="120" w:after="120" w:line="288" w:lineRule="auto"/>
      </w:pPr>
      <w:r>
        <w:rPr>
          <w:b/>
          <w:bCs/>
        </w:rPr>
        <w:t>Carlo</w:t>
      </w:r>
      <w:r>
        <w:t>: Explained that S</w:t>
      </w:r>
      <w:r w:rsidR="009463D0">
        <w:t>N</w:t>
      </w:r>
      <w:r>
        <w:t>E funding from F4E covers 12 months in 2027 for on-site presence. Once S</w:t>
      </w:r>
      <w:r w:rsidR="009463D0">
        <w:t>N</w:t>
      </w:r>
      <w:r>
        <w:t xml:space="preserve">Es are </w:t>
      </w:r>
      <w:r w:rsidR="009463D0">
        <w:t>agreed</w:t>
      </w:r>
      <w:r>
        <w:t>, mission costs are resolved, but salary costs become constrained. The net budget gain is limited; the strategic benefit is on-site presence during installation and commissioning.</w:t>
      </w:r>
    </w:p>
    <w:p w14:paraId="158E304D" w14:textId="5B72F40F" w:rsidR="008C323E" w:rsidRDefault="009E3FDB">
      <w:pPr>
        <w:spacing w:before="120" w:after="120" w:line="288" w:lineRule="auto"/>
      </w:pPr>
      <w:r>
        <w:rPr>
          <w:b/>
          <w:bCs/>
        </w:rPr>
        <w:t>Marco</w:t>
      </w:r>
      <w:r>
        <w:t>: Requested an updated table showing budget figures assuming S</w:t>
      </w:r>
      <w:r w:rsidR="009463D0">
        <w:t>N</w:t>
      </w:r>
      <w:r>
        <w:t>E a</w:t>
      </w:r>
      <w:r w:rsidR="009463D0">
        <w:t>greement</w:t>
      </w:r>
      <w:r>
        <w:t xml:space="preserve">, and asked Carlo to verify consistency with numbers provided by Eva, in coordination with </w:t>
      </w:r>
      <w:r w:rsidR="009463D0">
        <w:t>Botond</w:t>
      </w:r>
      <w:r>
        <w:t xml:space="preserve"> and Joao</w:t>
      </w:r>
      <w:r w:rsidR="009463D0">
        <w:t>.</w:t>
      </w:r>
    </w:p>
    <w:p w14:paraId="0ADFACC7" w14:textId="77777777" w:rsidR="008C323E" w:rsidRDefault="008C323E">
      <w:pPr>
        <w:pBdr>
          <w:bottom w:val="single" w:sz="6" w:space="1" w:color="000000"/>
          <w:between w:val="single" w:sz="6" w:space="1" w:color="000000"/>
        </w:pBdr>
        <w:spacing w:before="120" w:after="120" w:line="288" w:lineRule="auto"/>
      </w:pPr>
    </w:p>
    <w:p w14:paraId="41F4079D" w14:textId="4C7E131B" w:rsidR="008C323E" w:rsidRDefault="009E3FDB">
      <w:pPr>
        <w:spacing w:before="120" w:after="120" w:line="288" w:lineRule="auto"/>
      </w:pPr>
      <w:r>
        <w:rPr>
          <w:b/>
          <w:bCs/>
        </w:rPr>
        <w:t>Marco</w:t>
      </w:r>
      <w:r>
        <w:t>: What is the status of the F4E procurement agreements, and what does EUROfusion need to provide before F4E can sign contracts?</w:t>
      </w:r>
    </w:p>
    <w:p w14:paraId="49D4EA27" w14:textId="64ED5119" w:rsidR="008C323E" w:rsidRDefault="009E3FDB">
      <w:pPr>
        <w:spacing w:before="120" w:after="120" w:line="288" w:lineRule="auto"/>
      </w:pPr>
      <w:r>
        <w:rPr>
          <w:b/>
          <w:bCs/>
        </w:rPr>
        <w:t>Carlo</w:t>
      </w:r>
      <w:r>
        <w:t xml:space="preserve">: Explained that F4E contracts can be signed once the procurement agreement between F4E and </w:t>
      </w:r>
      <w:r w:rsidR="009463D0">
        <w:t>QST</w:t>
      </w:r>
      <w:r>
        <w:t xml:space="preserve"> is in place. Until then, EUROfusion must support development to a sufficient level of design maturity. F4E contracts will not cover installation costs.</w:t>
      </w:r>
    </w:p>
    <w:p w14:paraId="0827A506" w14:textId="77777777" w:rsidR="008C323E" w:rsidRDefault="008C323E">
      <w:pPr>
        <w:pBdr>
          <w:bottom w:val="single" w:sz="6" w:space="1" w:color="000000"/>
          <w:between w:val="single" w:sz="6" w:space="1" w:color="000000"/>
        </w:pBdr>
        <w:spacing w:before="120" w:after="120" w:line="288" w:lineRule="auto"/>
      </w:pPr>
    </w:p>
    <w:p w14:paraId="73F29C43" w14:textId="480EFB25" w:rsidR="008C323E" w:rsidRDefault="009463D0">
      <w:pPr>
        <w:pStyle w:val="Heading3"/>
        <w:spacing w:before="120" w:after="120" w:line="288" w:lineRule="auto"/>
      </w:pPr>
      <w:bookmarkStart w:id="6" w:name="_Toc7"/>
      <w:r>
        <w:t xml:space="preserve">WPPWIE - </w:t>
      </w:r>
      <w:r w:rsidR="009E3FDB">
        <w:t>JET Post-Mortem Analysis ( Sebastijan)</w:t>
      </w:r>
      <w:bookmarkEnd w:id="6"/>
    </w:p>
    <w:p w14:paraId="3D61A250" w14:textId="77777777" w:rsidR="008C323E" w:rsidRDefault="009E3FDB">
      <w:pPr>
        <w:spacing w:before="120" w:after="120" w:line="288" w:lineRule="auto"/>
      </w:pPr>
      <w:r>
        <w:rPr>
          <w:b/>
          <w:bCs/>
        </w:rPr>
        <w:t>Xavier</w:t>
      </w:r>
      <w:r>
        <w:t>: Is there a duplication between the WPPWIE request for runaway-induced PFC damage modeling and activities in WPTM?</w:t>
      </w:r>
    </w:p>
    <w:p w14:paraId="659CA729" w14:textId="471DD776" w:rsidR="008C323E" w:rsidRDefault="009E3FDB">
      <w:pPr>
        <w:spacing w:before="120" w:after="120" w:line="288" w:lineRule="auto"/>
      </w:pPr>
      <w:r>
        <w:rPr>
          <w:b/>
          <w:bCs/>
        </w:rPr>
        <w:t>Sebastijan</w:t>
      </w:r>
      <w:r>
        <w:t>: Clarified that the item was previously presented on behalf of Svetlana and spans TM, TE, and PW</w:t>
      </w:r>
      <w:r w:rsidR="009463D0">
        <w:t>I</w:t>
      </w:r>
      <w:r>
        <w:t>E. It was removed from the PWIE list. The originally anticipated engineering grant funding for this work has been redirected, leaving Svetlana's group potentially without support. Suggested a trilateral discussion between Xavier, TE, and PW</w:t>
      </w:r>
      <w:r w:rsidR="009463D0">
        <w:t>I</w:t>
      </w:r>
      <w:r>
        <w:t>E.</w:t>
      </w:r>
    </w:p>
    <w:p w14:paraId="45C5B067" w14:textId="77777777" w:rsidR="008C323E" w:rsidRDefault="008C323E">
      <w:pPr>
        <w:pBdr>
          <w:bottom w:val="single" w:sz="6" w:space="1" w:color="000000"/>
          <w:between w:val="single" w:sz="6" w:space="1" w:color="000000"/>
        </w:pBdr>
        <w:spacing w:before="120" w:after="120" w:line="288" w:lineRule="auto"/>
      </w:pPr>
    </w:p>
    <w:p w14:paraId="4C0D3775" w14:textId="45746056" w:rsidR="008C323E" w:rsidRDefault="009E3FDB">
      <w:pPr>
        <w:spacing w:before="120" w:after="120" w:line="288" w:lineRule="auto"/>
      </w:pPr>
      <w:r>
        <w:rPr>
          <w:b/>
          <w:bCs/>
        </w:rPr>
        <w:t>Marco</w:t>
      </w:r>
      <w:r>
        <w:t>: Should JET dust analysis be elevated in priority given ITER's expressed interest for their licensing procedure?</w:t>
      </w:r>
    </w:p>
    <w:p w14:paraId="32156DC1" w14:textId="77777777" w:rsidR="008C323E" w:rsidRDefault="009E3FDB">
      <w:pPr>
        <w:spacing w:before="120" w:after="120" w:line="288" w:lineRule="auto"/>
      </w:pPr>
      <w:r>
        <w:rPr>
          <w:b/>
          <w:bCs/>
        </w:rPr>
        <w:t>Sebastijan</w:t>
      </w:r>
      <w:r>
        <w:t>: Agreed that dust analysis should be elevated, potentially moving it from priority 3 to a higher priority. However, noted that access to JET vessel for dust collection may be late (possibly FP10), and that ITER's interest is specifically for their safety case. Emphasized the need for scientifically controlled interpretation rather than simple hoovering and weighing.</w:t>
      </w:r>
    </w:p>
    <w:p w14:paraId="7B204E51" w14:textId="5F73C0FE" w:rsidR="008C323E" w:rsidRDefault="009E3FDB">
      <w:pPr>
        <w:spacing w:before="120" w:after="120" w:line="288" w:lineRule="auto"/>
      </w:pPr>
      <w:r>
        <w:rPr>
          <w:b/>
          <w:bCs/>
        </w:rPr>
        <w:t>Emmanuelle</w:t>
      </w:r>
      <w:r>
        <w:t>: Noted uncertainty about J</w:t>
      </w:r>
      <w:r w:rsidR="009463D0">
        <w:t>E</w:t>
      </w:r>
      <w:r>
        <w:t>T capability for dust collection and fuel retention measurement, and flagged that ITER's update timeline may be too soon for J</w:t>
      </w:r>
      <w:r w:rsidR="009463D0">
        <w:t>E</w:t>
      </w:r>
      <w:r>
        <w:t>T data to be useful.</w:t>
      </w:r>
    </w:p>
    <w:p w14:paraId="21696506" w14:textId="77777777" w:rsidR="008C323E" w:rsidRDefault="008C323E">
      <w:pPr>
        <w:pBdr>
          <w:bottom w:val="single" w:sz="6" w:space="1" w:color="000000"/>
          <w:between w:val="single" w:sz="6" w:space="1" w:color="000000"/>
        </w:pBdr>
        <w:spacing w:before="120" w:after="120" w:line="288" w:lineRule="auto"/>
      </w:pPr>
    </w:p>
    <w:p w14:paraId="63556AB9" w14:textId="77777777" w:rsidR="008C323E" w:rsidRDefault="009E3FDB">
      <w:pPr>
        <w:pStyle w:val="Heading3"/>
        <w:spacing w:before="120" w:after="120" w:line="288" w:lineRule="auto"/>
      </w:pPr>
      <w:bookmarkStart w:id="7" w:name="_Toc8"/>
      <w:r>
        <w:t>WPTE Experimental Time Scenarios</w:t>
      </w:r>
      <w:bookmarkEnd w:id="7"/>
    </w:p>
    <w:p w14:paraId="5EEC295A" w14:textId="053BDFAC" w:rsidR="008C323E" w:rsidRDefault="009E3FDB">
      <w:pPr>
        <w:spacing w:before="120" w:after="120" w:line="288" w:lineRule="auto"/>
      </w:pPr>
      <w:r>
        <w:rPr>
          <w:b/>
          <w:bCs/>
        </w:rPr>
        <w:t>Marco</w:t>
      </w:r>
      <w:r>
        <w:t>: Can you clarify the scenario numbering — is Scenario 1 the 27.5% or the 30% allocation?</w:t>
      </w:r>
    </w:p>
    <w:p w14:paraId="24FB3BFC" w14:textId="77777777" w:rsidR="008C323E" w:rsidRDefault="009E3FDB">
      <w:pPr>
        <w:spacing w:before="120" w:after="120" w:line="288" w:lineRule="auto"/>
      </w:pPr>
      <w:r>
        <w:rPr>
          <w:b/>
          <w:bCs/>
        </w:rPr>
        <w:t>Emmanuelle</w:t>
      </w:r>
      <w:r>
        <w:t>: Confirmed that in the WPTE slides, Scenario 1 = 27.5%, Scenario 2 = 35% for all machines, Scenario 4 = 40%/35%. Agreed to align numbering with the reserve list slides circulated by Marco, where Scenario 1 = 30%.</w:t>
      </w:r>
    </w:p>
    <w:p w14:paraId="553907AA" w14:textId="77777777" w:rsidR="008C323E" w:rsidRDefault="008C323E">
      <w:pPr>
        <w:pBdr>
          <w:bottom w:val="single" w:sz="6" w:space="1" w:color="000000"/>
          <w:between w:val="single" w:sz="6" w:space="1" w:color="000000"/>
        </w:pBdr>
        <w:spacing w:before="120" w:after="120" w:line="288" w:lineRule="auto"/>
      </w:pPr>
    </w:p>
    <w:p w14:paraId="07E7EBCA" w14:textId="59376621" w:rsidR="008C323E" w:rsidRDefault="009E3FDB">
      <w:pPr>
        <w:spacing w:before="120" w:after="120" w:line="288" w:lineRule="auto"/>
      </w:pPr>
      <w:r>
        <w:rPr>
          <w:b/>
          <w:bCs/>
        </w:rPr>
        <w:t>Marco</w:t>
      </w:r>
      <w:r>
        <w:t>: Regarding the ADC/PEX upgrades and the EFPW recommendations — how does the current scenario planning account for the grant deliverable on FPP-relevant scenarios?</w:t>
      </w:r>
    </w:p>
    <w:p w14:paraId="674D4E7E" w14:textId="77777777" w:rsidR="008C323E" w:rsidRDefault="009E3FDB">
      <w:pPr>
        <w:spacing w:before="120" w:after="120" w:line="288" w:lineRule="auto"/>
      </w:pPr>
      <w:r>
        <w:rPr>
          <w:b/>
          <w:bCs/>
        </w:rPr>
        <w:t>Emmanuelle</w:t>
      </w:r>
      <w:r>
        <w:t>: Explained that in Scenario 0/1, exploration would be narrowed to a single ADC configuration rather than the full parameter space, meaning the PEX upgrade would not be fully exploited. The grant deliverable report can still be written but will reflect limited scenario coverage.</w:t>
      </w:r>
    </w:p>
    <w:p w14:paraId="1BC914C3" w14:textId="4CC1BC70" w:rsidR="008C323E" w:rsidRDefault="009E3FDB">
      <w:pPr>
        <w:spacing w:before="120" w:after="120" w:line="288" w:lineRule="auto"/>
      </w:pPr>
      <w:r>
        <w:rPr>
          <w:b/>
          <w:bCs/>
        </w:rPr>
        <w:t>Nicola</w:t>
      </w:r>
      <w:r>
        <w:t>: Confirmed that the grant deliverable can be produced but note</w:t>
      </w:r>
      <w:r w:rsidR="009463D0">
        <w:t>d</w:t>
      </w:r>
      <w:r>
        <w:t xml:space="preserve"> </w:t>
      </w:r>
      <w:r w:rsidR="009463D0">
        <w:t xml:space="preserve">the limitation to a single scenario </w:t>
      </w:r>
      <w:r>
        <w:t>in metallic devices, calling for further exploration in FP10.</w:t>
      </w:r>
    </w:p>
    <w:p w14:paraId="0C2E4047" w14:textId="77777777" w:rsidR="008C323E" w:rsidRDefault="008C323E">
      <w:pPr>
        <w:pBdr>
          <w:bottom w:val="single" w:sz="6" w:space="1" w:color="000000"/>
          <w:between w:val="single" w:sz="6" w:space="1" w:color="000000"/>
        </w:pBdr>
        <w:spacing w:before="120" w:after="120" w:line="288" w:lineRule="auto"/>
      </w:pPr>
    </w:p>
    <w:p w14:paraId="6564A98D" w14:textId="77777777" w:rsidR="008C323E" w:rsidRDefault="009E3FDB">
      <w:pPr>
        <w:spacing w:before="120" w:after="120" w:line="288" w:lineRule="auto"/>
      </w:pPr>
      <w:r>
        <w:rPr>
          <w:b/>
          <w:bCs/>
        </w:rPr>
        <w:t>Sebastijan</w:t>
      </w:r>
      <w:r>
        <w:t>: Regarding RMP experiments — is the focus on tungsten control or ELM control, and is this in the basic AUG program?</w:t>
      </w:r>
    </w:p>
    <w:p w14:paraId="61C9642E" w14:textId="05A9608D" w:rsidR="008C323E" w:rsidRDefault="009E3FDB">
      <w:pPr>
        <w:spacing w:before="120" w:after="120" w:line="288" w:lineRule="auto"/>
      </w:pPr>
      <w:r>
        <w:rPr>
          <w:b/>
          <w:bCs/>
        </w:rPr>
        <w:t>Nicola</w:t>
      </w:r>
      <w:r>
        <w:t xml:space="preserve">: Clarified that the issue is twofold: (1) there are currently no RMP suppression scenarios in purely </w:t>
      </w:r>
      <w:r w:rsidR="00644797">
        <w:t>wave heated</w:t>
      </w:r>
      <w:r>
        <w:t xml:space="preserve"> ITER-like plasmas on AUG, which is needed to de-risk SRO operation; (2) low-rotation scenarios with RMPs affect tungsten screening and influx, requiring new dedicated experiments. Sebastijan suggested this should be framed more explicitly as ELM control demonstration.</w:t>
      </w:r>
    </w:p>
    <w:p w14:paraId="06153060" w14:textId="77777777" w:rsidR="008C323E" w:rsidRDefault="008C323E">
      <w:pPr>
        <w:pBdr>
          <w:bottom w:val="single" w:sz="6" w:space="1" w:color="000000"/>
          <w:between w:val="single" w:sz="6" w:space="1" w:color="000000"/>
        </w:pBdr>
        <w:spacing w:before="120" w:after="120" w:line="288" w:lineRule="auto"/>
      </w:pPr>
    </w:p>
    <w:p w14:paraId="75ED896B" w14:textId="0A2DECCB" w:rsidR="008C323E" w:rsidRDefault="009E3FDB">
      <w:pPr>
        <w:spacing w:before="120" w:after="120" w:line="288" w:lineRule="auto"/>
      </w:pPr>
      <w:r>
        <w:rPr>
          <w:b/>
          <w:bCs/>
        </w:rPr>
        <w:t>Marco</w:t>
      </w:r>
      <w:r>
        <w:t>: Could RMP experiments on current TE devices inform future JT-60SA metal wall operation, given that JT-60SA has RMP coils and will eventually move to a tungsten wall?</w:t>
      </w:r>
    </w:p>
    <w:p w14:paraId="34BDD711" w14:textId="77777777" w:rsidR="008C323E" w:rsidRDefault="009E3FDB">
      <w:pPr>
        <w:spacing w:before="120" w:after="120" w:line="288" w:lineRule="auto"/>
      </w:pPr>
      <w:r>
        <w:rPr>
          <w:b/>
          <w:bCs/>
        </w:rPr>
        <w:t>Nicola</w:t>
      </w:r>
      <w:r>
        <w:t>: Agreed that carbon-phase JT-60SA data will provide valuable information, and that once tungsten is available on JT-60SA, the corresponding ECRH power and RMP spectrum should allow informed operation. Noted the RMP spectrum on JT-60SA is not too different from current devices.</w:t>
      </w:r>
    </w:p>
    <w:p w14:paraId="71F07121" w14:textId="77777777" w:rsidR="008C323E" w:rsidRDefault="008C323E">
      <w:pPr>
        <w:pBdr>
          <w:bottom w:val="single" w:sz="6" w:space="1" w:color="000000"/>
          <w:between w:val="single" w:sz="6" w:space="1" w:color="000000"/>
        </w:pBdr>
        <w:spacing w:before="120" w:after="120" w:line="288" w:lineRule="auto"/>
      </w:pPr>
    </w:p>
    <w:p w14:paraId="3030E38B" w14:textId="1EE1D514" w:rsidR="008C323E" w:rsidRDefault="009E3FDB">
      <w:pPr>
        <w:spacing w:before="120" w:after="120" w:line="288" w:lineRule="auto"/>
      </w:pPr>
      <w:r>
        <w:rPr>
          <w:b/>
          <w:bCs/>
        </w:rPr>
        <w:t>Sebastijan</w:t>
      </w:r>
      <w:r>
        <w:t>: How are machine operation costs calculated when the fraction of experimental time is reduced — do fixed costs remain constant, making each pulse more expensive?</w:t>
      </w:r>
    </w:p>
    <w:p w14:paraId="5E961C58" w14:textId="77777777" w:rsidR="008C323E" w:rsidRDefault="009E3FDB">
      <w:pPr>
        <w:spacing w:before="120" w:after="120" w:line="288" w:lineRule="auto"/>
      </w:pPr>
      <w:r>
        <w:rPr>
          <w:b/>
          <w:bCs/>
        </w:rPr>
        <w:lastRenderedPageBreak/>
        <w:t>Emmanuelle</w:t>
      </w:r>
      <w:r>
        <w:t>: Confirmed this is theoretically correct; if a machine operates fewer days due to budget restrictions, fixed costs remain, making each operational day more expensive. However, the current budget model uses a fixed EC contribution agreed at GA level, averaged from historical machine cost reports.</w:t>
      </w:r>
    </w:p>
    <w:p w14:paraId="3FCA356F" w14:textId="3B700D9A" w:rsidR="008C323E" w:rsidRDefault="009E3FDB">
      <w:pPr>
        <w:spacing w:before="120" w:after="120" w:line="288" w:lineRule="auto"/>
      </w:pPr>
      <w:r w:rsidRPr="009E3FDB">
        <w:rPr>
          <w:b/>
          <w:bCs/>
        </w:rPr>
        <w:t>Botond</w:t>
      </w:r>
      <w:r>
        <w:t>: Explained that the current 2026–2027 machine operation cost is based on a five-year historical average of reported costs. The link between actual pulse numbers and yearly budget is not straightforward and cannot be systematically reconciled from reports. The agreed GA-level EC contribution is what effectively determines the budget line.</w:t>
      </w:r>
    </w:p>
    <w:p w14:paraId="4B70B884" w14:textId="77777777" w:rsidR="008C323E" w:rsidRDefault="008C323E">
      <w:pPr>
        <w:pBdr>
          <w:bottom w:val="single" w:sz="6" w:space="1" w:color="000000"/>
          <w:between w:val="single" w:sz="6" w:space="1" w:color="000000"/>
        </w:pBdr>
        <w:spacing w:before="120" w:after="120" w:line="288" w:lineRule="auto"/>
      </w:pPr>
    </w:p>
    <w:p w14:paraId="3E638DF3" w14:textId="77777777" w:rsidR="008C323E" w:rsidRDefault="009E3FDB">
      <w:pPr>
        <w:pStyle w:val="Heading3"/>
        <w:spacing w:before="120" w:after="120" w:line="288" w:lineRule="auto"/>
      </w:pPr>
      <w:bookmarkStart w:id="8" w:name="_Toc9"/>
      <w:r>
        <w:t>JT-60SA Tungsten Phase Scientific Priorities</w:t>
      </w:r>
      <w:bookmarkEnd w:id="8"/>
    </w:p>
    <w:p w14:paraId="0C496FA2" w14:textId="77777777" w:rsidR="008C323E" w:rsidRDefault="009E3FDB">
      <w:pPr>
        <w:spacing w:before="120" w:after="120" w:line="288" w:lineRule="auto"/>
      </w:pPr>
      <w:r>
        <w:rPr>
          <w:b/>
          <w:bCs/>
        </w:rPr>
        <w:t>Yevgen</w:t>
      </w:r>
      <w:r>
        <w:t>: Is the current formulation of the four high-level JT-60SA tungsten phase priorities acceptable, and should no-ELM regimes be explicitly named?</w:t>
      </w:r>
    </w:p>
    <w:p w14:paraId="784C50D9" w14:textId="2657F7D3" w:rsidR="008C323E" w:rsidRDefault="009E3FDB">
      <w:pPr>
        <w:spacing w:before="120" w:after="120" w:line="288" w:lineRule="auto"/>
      </w:pPr>
      <w:r>
        <w:rPr>
          <w:b/>
          <w:bCs/>
        </w:rPr>
        <w:t>Marco</w:t>
      </w:r>
      <w:r>
        <w:t>: Explained that no-ELM regimes are included via the comma-separated phrasing in priority 1, without mandating that all high-performance scenarios be no-ELM. Invited alternative phrasings to be submitted within two weeks.</w:t>
      </w:r>
    </w:p>
    <w:p w14:paraId="22C67B1C" w14:textId="77777777" w:rsidR="008C323E" w:rsidRDefault="009E3FDB">
      <w:pPr>
        <w:spacing w:before="120" w:after="120" w:line="288" w:lineRule="auto"/>
      </w:pPr>
      <w:r>
        <w:rPr>
          <w:b/>
          <w:bCs/>
        </w:rPr>
        <w:t>Yevgen</w:t>
      </w:r>
      <w:r>
        <w:t>: Supported keeping the no-ELM reference as a EUROfusion priority, noting QST may have their own priorities, and the project-level formulation may be more general. Suggested adding explicit reference to high-QDT equivalent gain factor in the context of JT-60SA (which will not have DT).</w:t>
      </w:r>
    </w:p>
    <w:p w14:paraId="336DB8C4" w14:textId="77777777" w:rsidR="008C323E" w:rsidRDefault="008C323E">
      <w:pPr>
        <w:pBdr>
          <w:bottom w:val="single" w:sz="6" w:space="1" w:color="000000"/>
          <w:between w:val="single" w:sz="6" w:space="1" w:color="000000"/>
        </w:pBdr>
        <w:spacing w:before="120" w:after="120" w:line="288" w:lineRule="auto"/>
      </w:pPr>
    </w:p>
    <w:p w14:paraId="1355F7A5" w14:textId="77777777" w:rsidR="008C323E" w:rsidRDefault="009E3FDB">
      <w:pPr>
        <w:spacing w:before="120" w:after="120" w:line="288" w:lineRule="auto"/>
      </w:pPr>
      <w:r>
        <w:rPr>
          <w:b/>
          <w:bCs/>
        </w:rPr>
        <w:t>Carlo</w:t>
      </w:r>
      <w:r>
        <w:t>: Should the priority slide include a reference to the machine configuration and upgrades required to achieve the stated scientific objectives, for audiences less familiar with the machine?</w:t>
      </w:r>
    </w:p>
    <w:p w14:paraId="640A3082" w14:textId="11787375" w:rsidR="008C323E" w:rsidRDefault="009E3FDB">
      <w:pPr>
        <w:spacing w:before="120" w:after="120" w:line="288" w:lineRule="auto"/>
      </w:pPr>
      <w:r>
        <w:rPr>
          <w:b/>
          <w:bCs/>
        </w:rPr>
        <w:t>Marco</w:t>
      </w:r>
      <w:r>
        <w:t>: Agreed this should be addressed in a preamble or contextual text accompanying the four bullets, rather than modifying the bullets themselves.</w:t>
      </w:r>
    </w:p>
    <w:p w14:paraId="75F3D493" w14:textId="77777777" w:rsidR="008C323E" w:rsidRDefault="008C323E">
      <w:pPr>
        <w:pBdr>
          <w:bottom w:val="single" w:sz="6" w:space="1" w:color="000000"/>
          <w:between w:val="single" w:sz="6" w:space="1" w:color="000000"/>
        </w:pBdr>
        <w:spacing w:before="120" w:after="120" w:line="288" w:lineRule="auto"/>
      </w:pPr>
    </w:p>
    <w:p w14:paraId="262EF414" w14:textId="54F216AF" w:rsidR="008C323E" w:rsidRDefault="009E3FDB">
      <w:pPr>
        <w:spacing w:before="120" w:after="120" w:line="288" w:lineRule="auto"/>
      </w:pPr>
      <w:r>
        <w:rPr>
          <w:b/>
          <w:bCs/>
        </w:rPr>
        <w:t>Xavier</w:t>
      </w:r>
      <w:r>
        <w:t>: Should the wording be reconsidered as potentially too restrictive, and should ITER be explicitly mentioned?</w:t>
      </w:r>
    </w:p>
    <w:p w14:paraId="725673A9" w14:textId="6B71B933" w:rsidR="008C323E" w:rsidRDefault="009E3FDB">
      <w:pPr>
        <w:spacing w:before="120" w:after="120" w:line="288" w:lineRule="auto"/>
      </w:pPr>
      <w:r>
        <w:rPr>
          <w:b/>
          <w:bCs/>
        </w:rPr>
        <w:t>Marco</w:t>
      </w:r>
      <w:r>
        <w:t>: Agreed that the phrasing may be too restrictive given machine limitations, and that explicit mention of ITER is appropriate given the rationale for moving JT-60SA to a metal wall. Committed to updating the formulation.</w:t>
      </w:r>
    </w:p>
    <w:p w14:paraId="2B879914" w14:textId="1C99AB62" w:rsidR="008C323E" w:rsidRDefault="009E3FDB">
      <w:pPr>
        <w:spacing w:before="120" w:after="120" w:line="288" w:lineRule="auto"/>
      </w:pPr>
      <w:r>
        <w:rPr>
          <w:b/>
          <w:bCs/>
        </w:rPr>
        <w:t>Xavier</w:t>
      </w:r>
      <w:r>
        <w:t>: Also suggested adding "access conditions" language (access, demonstrate, sustain) and noting the importance of the L/H transition and the burning plasma access topic, which is a key item in the ITER research plan.</w:t>
      </w:r>
    </w:p>
    <w:sectPr w:rsidR="008C32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1BE6"/>
    <w:multiLevelType w:val="hybridMultilevel"/>
    <w:tmpl w:val="0BDC5376"/>
    <w:lvl w:ilvl="0" w:tplc="6962436E">
      <w:numFmt w:val="bullet"/>
      <w:lvlText w:val=""/>
      <w:lvlJc w:val="left"/>
      <w:pPr>
        <w:ind w:left="720" w:hanging="360"/>
      </w:pPr>
      <w:rPr>
        <w:rFonts w:ascii="Symbol" w:hAnsi="Symbol" w:hint="default"/>
      </w:rPr>
    </w:lvl>
    <w:lvl w:ilvl="1" w:tplc="4B18380C">
      <w:numFmt w:val="decimal"/>
      <w:lvlText w:val=""/>
      <w:lvlJc w:val="left"/>
    </w:lvl>
    <w:lvl w:ilvl="2" w:tplc="84B0EC7A">
      <w:numFmt w:val="decimal"/>
      <w:lvlText w:val=""/>
      <w:lvlJc w:val="left"/>
    </w:lvl>
    <w:lvl w:ilvl="3" w:tplc="9228AFA4">
      <w:numFmt w:val="decimal"/>
      <w:lvlText w:val=""/>
      <w:lvlJc w:val="left"/>
    </w:lvl>
    <w:lvl w:ilvl="4" w:tplc="DAC2DACE">
      <w:numFmt w:val="decimal"/>
      <w:lvlText w:val=""/>
      <w:lvlJc w:val="left"/>
    </w:lvl>
    <w:lvl w:ilvl="5" w:tplc="90A4494E">
      <w:numFmt w:val="decimal"/>
      <w:lvlText w:val=""/>
      <w:lvlJc w:val="left"/>
    </w:lvl>
    <w:lvl w:ilvl="6" w:tplc="A51E113C">
      <w:numFmt w:val="decimal"/>
      <w:lvlText w:val=""/>
      <w:lvlJc w:val="left"/>
    </w:lvl>
    <w:lvl w:ilvl="7" w:tplc="8B40A472">
      <w:numFmt w:val="decimal"/>
      <w:lvlText w:val=""/>
      <w:lvlJc w:val="left"/>
    </w:lvl>
    <w:lvl w:ilvl="8" w:tplc="36A0FAB8">
      <w:numFmt w:val="decimal"/>
      <w:lvlText w:val=""/>
      <w:lvlJc w:val="left"/>
    </w:lvl>
  </w:abstractNum>
  <w:abstractNum w:abstractNumId="1" w15:restartNumberingAfterBreak="0">
    <w:nsid w:val="0BF61307"/>
    <w:multiLevelType w:val="hybridMultilevel"/>
    <w:tmpl w:val="5EE03E0C"/>
    <w:lvl w:ilvl="0" w:tplc="AF54D66C">
      <w:numFmt w:val="bullet"/>
      <w:lvlText w:val=""/>
      <w:lvlJc w:val="left"/>
      <w:pPr>
        <w:ind w:left="720" w:hanging="360"/>
      </w:pPr>
      <w:rPr>
        <w:rFonts w:ascii="Symbol" w:hAnsi="Symbol" w:hint="default"/>
      </w:rPr>
    </w:lvl>
    <w:lvl w:ilvl="1" w:tplc="A8B48FDA">
      <w:numFmt w:val="decimal"/>
      <w:lvlText w:val=""/>
      <w:lvlJc w:val="left"/>
    </w:lvl>
    <w:lvl w:ilvl="2" w:tplc="49FCA1CE">
      <w:numFmt w:val="decimal"/>
      <w:lvlText w:val=""/>
      <w:lvlJc w:val="left"/>
    </w:lvl>
    <w:lvl w:ilvl="3" w:tplc="091E0992">
      <w:numFmt w:val="decimal"/>
      <w:lvlText w:val=""/>
      <w:lvlJc w:val="left"/>
    </w:lvl>
    <w:lvl w:ilvl="4" w:tplc="6234C68C">
      <w:numFmt w:val="decimal"/>
      <w:lvlText w:val=""/>
      <w:lvlJc w:val="left"/>
    </w:lvl>
    <w:lvl w:ilvl="5" w:tplc="62E8B3DE">
      <w:numFmt w:val="decimal"/>
      <w:lvlText w:val=""/>
      <w:lvlJc w:val="left"/>
    </w:lvl>
    <w:lvl w:ilvl="6" w:tplc="E558EC50">
      <w:numFmt w:val="decimal"/>
      <w:lvlText w:val=""/>
      <w:lvlJc w:val="left"/>
    </w:lvl>
    <w:lvl w:ilvl="7" w:tplc="7BB2FA9E">
      <w:numFmt w:val="decimal"/>
      <w:lvlText w:val=""/>
      <w:lvlJc w:val="left"/>
    </w:lvl>
    <w:lvl w:ilvl="8" w:tplc="3FA2B9E2">
      <w:numFmt w:val="decimal"/>
      <w:lvlText w:val=""/>
      <w:lvlJc w:val="left"/>
    </w:lvl>
  </w:abstractNum>
  <w:abstractNum w:abstractNumId="2" w15:restartNumberingAfterBreak="0">
    <w:nsid w:val="0E365C41"/>
    <w:multiLevelType w:val="hybridMultilevel"/>
    <w:tmpl w:val="ED5A3CBC"/>
    <w:lvl w:ilvl="0" w:tplc="7D5A5CE8">
      <w:numFmt w:val="bullet"/>
      <w:lvlText w:val=""/>
      <w:lvlJc w:val="left"/>
      <w:pPr>
        <w:ind w:left="720" w:hanging="360"/>
      </w:pPr>
      <w:rPr>
        <w:rFonts w:ascii="Symbol" w:hAnsi="Symbol" w:hint="default"/>
      </w:rPr>
    </w:lvl>
    <w:lvl w:ilvl="1" w:tplc="9F1C7946">
      <w:numFmt w:val="decimal"/>
      <w:lvlText w:val=""/>
      <w:lvlJc w:val="left"/>
    </w:lvl>
    <w:lvl w:ilvl="2" w:tplc="DADEFADC">
      <w:numFmt w:val="decimal"/>
      <w:lvlText w:val=""/>
      <w:lvlJc w:val="left"/>
    </w:lvl>
    <w:lvl w:ilvl="3" w:tplc="614AB41C">
      <w:numFmt w:val="decimal"/>
      <w:lvlText w:val=""/>
      <w:lvlJc w:val="left"/>
    </w:lvl>
    <w:lvl w:ilvl="4" w:tplc="412C8B06">
      <w:numFmt w:val="decimal"/>
      <w:lvlText w:val=""/>
      <w:lvlJc w:val="left"/>
    </w:lvl>
    <w:lvl w:ilvl="5" w:tplc="0AA01E1E">
      <w:numFmt w:val="decimal"/>
      <w:lvlText w:val=""/>
      <w:lvlJc w:val="left"/>
    </w:lvl>
    <w:lvl w:ilvl="6" w:tplc="B95456EE">
      <w:numFmt w:val="decimal"/>
      <w:lvlText w:val=""/>
      <w:lvlJc w:val="left"/>
    </w:lvl>
    <w:lvl w:ilvl="7" w:tplc="454AB41E">
      <w:numFmt w:val="decimal"/>
      <w:lvlText w:val=""/>
      <w:lvlJc w:val="left"/>
    </w:lvl>
    <w:lvl w:ilvl="8" w:tplc="55B6B556">
      <w:numFmt w:val="decimal"/>
      <w:lvlText w:val=""/>
      <w:lvlJc w:val="left"/>
    </w:lvl>
  </w:abstractNum>
  <w:abstractNum w:abstractNumId="3" w15:restartNumberingAfterBreak="0">
    <w:nsid w:val="196F5ED8"/>
    <w:multiLevelType w:val="hybridMultilevel"/>
    <w:tmpl w:val="B5D65A6C"/>
    <w:lvl w:ilvl="0" w:tplc="3766910C">
      <w:numFmt w:val="bullet"/>
      <w:lvlText w:val=""/>
      <w:lvlJc w:val="left"/>
      <w:pPr>
        <w:ind w:left="720" w:hanging="360"/>
      </w:pPr>
      <w:rPr>
        <w:rFonts w:ascii="Symbol" w:hAnsi="Symbol" w:hint="default"/>
      </w:rPr>
    </w:lvl>
    <w:lvl w:ilvl="1" w:tplc="219E23E6">
      <w:numFmt w:val="decimal"/>
      <w:lvlText w:val=""/>
      <w:lvlJc w:val="left"/>
    </w:lvl>
    <w:lvl w:ilvl="2" w:tplc="8954FB30">
      <w:numFmt w:val="decimal"/>
      <w:lvlText w:val=""/>
      <w:lvlJc w:val="left"/>
    </w:lvl>
    <w:lvl w:ilvl="3" w:tplc="1FEE553A">
      <w:numFmt w:val="decimal"/>
      <w:lvlText w:val=""/>
      <w:lvlJc w:val="left"/>
    </w:lvl>
    <w:lvl w:ilvl="4" w:tplc="296A1290">
      <w:numFmt w:val="decimal"/>
      <w:lvlText w:val=""/>
      <w:lvlJc w:val="left"/>
    </w:lvl>
    <w:lvl w:ilvl="5" w:tplc="6BA4DFFA">
      <w:numFmt w:val="decimal"/>
      <w:lvlText w:val=""/>
      <w:lvlJc w:val="left"/>
    </w:lvl>
    <w:lvl w:ilvl="6" w:tplc="183E45C2">
      <w:numFmt w:val="decimal"/>
      <w:lvlText w:val=""/>
      <w:lvlJc w:val="left"/>
    </w:lvl>
    <w:lvl w:ilvl="7" w:tplc="B7BE7E3C">
      <w:numFmt w:val="decimal"/>
      <w:lvlText w:val=""/>
      <w:lvlJc w:val="left"/>
    </w:lvl>
    <w:lvl w:ilvl="8" w:tplc="40CC3E18">
      <w:numFmt w:val="decimal"/>
      <w:lvlText w:val=""/>
      <w:lvlJc w:val="left"/>
    </w:lvl>
  </w:abstractNum>
  <w:abstractNum w:abstractNumId="4" w15:restartNumberingAfterBreak="0">
    <w:nsid w:val="1ECB7E2D"/>
    <w:multiLevelType w:val="hybridMultilevel"/>
    <w:tmpl w:val="CCB6E26A"/>
    <w:lvl w:ilvl="0" w:tplc="9B467422">
      <w:numFmt w:val="bullet"/>
      <w:lvlText w:val=""/>
      <w:lvlJc w:val="left"/>
      <w:pPr>
        <w:ind w:left="720" w:hanging="360"/>
      </w:pPr>
      <w:rPr>
        <w:rFonts w:ascii="Symbol" w:hAnsi="Symbol" w:hint="default"/>
      </w:rPr>
    </w:lvl>
    <w:lvl w:ilvl="1" w:tplc="9A9E4972">
      <w:numFmt w:val="decimal"/>
      <w:lvlText w:val=""/>
      <w:lvlJc w:val="left"/>
    </w:lvl>
    <w:lvl w:ilvl="2" w:tplc="0CF0D68C">
      <w:numFmt w:val="decimal"/>
      <w:lvlText w:val=""/>
      <w:lvlJc w:val="left"/>
    </w:lvl>
    <w:lvl w:ilvl="3" w:tplc="342A9A2A">
      <w:numFmt w:val="decimal"/>
      <w:lvlText w:val=""/>
      <w:lvlJc w:val="left"/>
    </w:lvl>
    <w:lvl w:ilvl="4" w:tplc="CE308F68">
      <w:numFmt w:val="decimal"/>
      <w:lvlText w:val=""/>
      <w:lvlJc w:val="left"/>
    </w:lvl>
    <w:lvl w:ilvl="5" w:tplc="300221DC">
      <w:numFmt w:val="decimal"/>
      <w:lvlText w:val=""/>
      <w:lvlJc w:val="left"/>
    </w:lvl>
    <w:lvl w:ilvl="6" w:tplc="7916DFCC">
      <w:numFmt w:val="decimal"/>
      <w:lvlText w:val=""/>
      <w:lvlJc w:val="left"/>
    </w:lvl>
    <w:lvl w:ilvl="7" w:tplc="507C074E">
      <w:numFmt w:val="decimal"/>
      <w:lvlText w:val=""/>
      <w:lvlJc w:val="left"/>
    </w:lvl>
    <w:lvl w:ilvl="8" w:tplc="83E0C7C4">
      <w:numFmt w:val="decimal"/>
      <w:lvlText w:val=""/>
      <w:lvlJc w:val="left"/>
    </w:lvl>
  </w:abstractNum>
  <w:abstractNum w:abstractNumId="5" w15:restartNumberingAfterBreak="0">
    <w:nsid w:val="39361567"/>
    <w:multiLevelType w:val="hybridMultilevel"/>
    <w:tmpl w:val="64D48684"/>
    <w:lvl w:ilvl="0" w:tplc="FC5C1D2A">
      <w:numFmt w:val="bullet"/>
      <w:lvlText w:val=""/>
      <w:lvlJc w:val="left"/>
      <w:pPr>
        <w:ind w:left="720" w:hanging="360"/>
      </w:pPr>
      <w:rPr>
        <w:rFonts w:ascii="Symbol" w:hAnsi="Symbol" w:hint="default"/>
      </w:rPr>
    </w:lvl>
    <w:lvl w:ilvl="1" w:tplc="5D445F38">
      <w:numFmt w:val="decimal"/>
      <w:lvlText w:val=""/>
      <w:lvlJc w:val="left"/>
    </w:lvl>
    <w:lvl w:ilvl="2" w:tplc="7FF099AC">
      <w:numFmt w:val="decimal"/>
      <w:lvlText w:val=""/>
      <w:lvlJc w:val="left"/>
    </w:lvl>
    <w:lvl w:ilvl="3" w:tplc="E520BF76">
      <w:numFmt w:val="decimal"/>
      <w:lvlText w:val=""/>
      <w:lvlJc w:val="left"/>
    </w:lvl>
    <w:lvl w:ilvl="4" w:tplc="8B6655C2">
      <w:numFmt w:val="decimal"/>
      <w:lvlText w:val=""/>
      <w:lvlJc w:val="left"/>
    </w:lvl>
    <w:lvl w:ilvl="5" w:tplc="55D07516">
      <w:numFmt w:val="decimal"/>
      <w:lvlText w:val=""/>
      <w:lvlJc w:val="left"/>
    </w:lvl>
    <w:lvl w:ilvl="6" w:tplc="346EAD66">
      <w:numFmt w:val="decimal"/>
      <w:lvlText w:val=""/>
      <w:lvlJc w:val="left"/>
    </w:lvl>
    <w:lvl w:ilvl="7" w:tplc="9F4CD6A4">
      <w:numFmt w:val="decimal"/>
      <w:lvlText w:val=""/>
      <w:lvlJc w:val="left"/>
    </w:lvl>
    <w:lvl w:ilvl="8" w:tplc="E43C91BE">
      <w:numFmt w:val="decimal"/>
      <w:lvlText w:val=""/>
      <w:lvlJc w:val="left"/>
    </w:lvl>
  </w:abstractNum>
  <w:abstractNum w:abstractNumId="6" w15:restartNumberingAfterBreak="0">
    <w:nsid w:val="3F3B7634"/>
    <w:multiLevelType w:val="hybridMultilevel"/>
    <w:tmpl w:val="0C6CF69C"/>
    <w:lvl w:ilvl="0" w:tplc="6A1AE376">
      <w:numFmt w:val="bullet"/>
      <w:lvlText w:val=""/>
      <w:lvlJc w:val="left"/>
      <w:pPr>
        <w:ind w:left="720" w:hanging="360"/>
      </w:pPr>
      <w:rPr>
        <w:rFonts w:ascii="Symbol" w:hAnsi="Symbol" w:hint="default"/>
      </w:rPr>
    </w:lvl>
    <w:lvl w:ilvl="1" w:tplc="B5900B2A">
      <w:numFmt w:val="decimal"/>
      <w:lvlText w:val=""/>
      <w:lvlJc w:val="left"/>
    </w:lvl>
    <w:lvl w:ilvl="2" w:tplc="B23E9EDE">
      <w:numFmt w:val="decimal"/>
      <w:lvlText w:val=""/>
      <w:lvlJc w:val="left"/>
    </w:lvl>
    <w:lvl w:ilvl="3" w:tplc="12105940">
      <w:numFmt w:val="decimal"/>
      <w:lvlText w:val=""/>
      <w:lvlJc w:val="left"/>
    </w:lvl>
    <w:lvl w:ilvl="4" w:tplc="639A715C">
      <w:numFmt w:val="decimal"/>
      <w:lvlText w:val=""/>
      <w:lvlJc w:val="left"/>
    </w:lvl>
    <w:lvl w:ilvl="5" w:tplc="3D7ADD9E">
      <w:numFmt w:val="decimal"/>
      <w:lvlText w:val=""/>
      <w:lvlJc w:val="left"/>
    </w:lvl>
    <w:lvl w:ilvl="6" w:tplc="AD88BBBC">
      <w:numFmt w:val="decimal"/>
      <w:lvlText w:val=""/>
      <w:lvlJc w:val="left"/>
    </w:lvl>
    <w:lvl w:ilvl="7" w:tplc="C50AB252">
      <w:numFmt w:val="decimal"/>
      <w:lvlText w:val=""/>
      <w:lvlJc w:val="left"/>
    </w:lvl>
    <w:lvl w:ilvl="8" w:tplc="A7502022">
      <w:numFmt w:val="decimal"/>
      <w:lvlText w:val=""/>
      <w:lvlJc w:val="left"/>
    </w:lvl>
  </w:abstractNum>
  <w:abstractNum w:abstractNumId="7" w15:restartNumberingAfterBreak="0">
    <w:nsid w:val="4E6E1EB3"/>
    <w:multiLevelType w:val="hybridMultilevel"/>
    <w:tmpl w:val="E320CF18"/>
    <w:lvl w:ilvl="0" w:tplc="4D2C2A08">
      <w:numFmt w:val="bullet"/>
      <w:lvlText w:val=""/>
      <w:lvlJc w:val="left"/>
      <w:pPr>
        <w:ind w:left="720" w:hanging="360"/>
      </w:pPr>
      <w:rPr>
        <w:rFonts w:ascii="Symbol" w:hAnsi="Symbol" w:hint="default"/>
      </w:rPr>
    </w:lvl>
    <w:lvl w:ilvl="1" w:tplc="F0FA5E0A">
      <w:numFmt w:val="decimal"/>
      <w:lvlText w:val=""/>
      <w:lvlJc w:val="left"/>
    </w:lvl>
    <w:lvl w:ilvl="2" w:tplc="3758B984">
      <w:numFmt w:val="decimal"/>
      <w:lvlText w:val=""/>
      <w:lvlJc w:val="left"/>
    </w:lvl>
    <w:lvl w:ilvl="3" w:tplc="ADF4114C">
      <w:numFmt w:val="decimal"/>
      <w:lvlText w:val=""/>
      <w:lvlJc w:val="left"/>
    </w:lvl>
    <w:lvl w:ilvl="4" w:tplc="D436B8AE">
      <w:numFmt w:val="decimal"/>
      <w:lvlText w:val=""/>
      <w:lvlJc w:val="left"/>
    </w:lvl>
    <w:lvl w:ilvl="5" w:tplc="8342E258">
      <w:numFmt w:val="decimal"/>
      <w:lvlText w:val=""/>
      <w:lvlJc w:val="left"/>
    </w:lvl>
    <w:lvl w:ilvl="6" w:tplc="C90A3EAC">
      <w:numFmt w:val="decimal"/>
      <w:lvlText w:val=""/>
      <w:lvlJc w:val="left"/>
    </w:lvl>
    <w:lvl w:ilvl="7" w:tplc="C3B45634">
      <w:numFmt w:val="decimal"/>
      <w:lvlText w:val=""/>
      <w:lvlJc w:val="left"/>
    </w:lvl>
    <w:lvl w:ilvl="8" w:tplc="7A5813EE">
      <w:numFmt w:val="decimal"/>
      <w:lvlText w:val=""/>
      <w:lvlJc w:val="left"/>
    </w:lvl>
  </w:abstractNum>
  <w:abstractNum w:abstractNumId="8" w15:restartNumberingAfterBreak="0">
    <w:nsid w:val="587F4BE7"/>
    <w:multiLevelType w:val="hybridMultilevel"/>
    <w:tmpl w:val="2560321C"/>
    <w:lvl w:ilvl="0" w:tplc="BAB40F64">
      <w:numFmt w:val="bullet"/>
      <w:lvlText w:val=""/>
      <w:lvlJc w:val="left"/>
      <w:pPr>
        <w:ind w:left="720" w:hanging="360"/>
      </w:pPr>
      <w:rPr>
        <w:rFonts w:ascii="Symbol" w:hAnsi="Symbol" w:hint="default"/>
      </w:rPr>
    </w:lvl>
    <w:lvl w:ilvl="1" w:tplc="B5840064">
      <w:numFmt w:val="decimal"/>
      <w:lvlText w:val=""/>
      <w:lvlJc w:val="left"/>
    </w:lvl>
    <w:lvl w:ilvl="2" w:tplc="5478E396">
      <w:numFmt w:val="decimal"/>
      <w:lvlText w:val=""/>
      <w:lvlJc w:val="left"/>
    </w:lvl>
    <w:lvl w:ilvl="3" w:tplc="8ADA4B62">
      <w:numFmt w:val="decimal"/>
      <w:lvlText w:val=""/>
      <w:lvlJc w:val="left"/>
    </w:lvl>
    <w:lvl w:ilvl="4" w:tplc="65A025C8">
      <w:numFmt w:val="decimal"/>
      <w:lvlText w:val=""/>
      <w:lvlJc w:val="left"/>
    </w:lvl>
    <w:lvl w:ilvl="5" w:tplc="AD2609FE">
      <w:numFmt w:val="decimal"/>
      <w:lvlText w:val=""/>
      <w:lvlJc w:val="left"/>
    </w:lvl>
    <w:lvl w:ilvl="6" w:tplc="B0CABEB6">
      <w:numFmt w:val="decimal"/>
      <w:lvlText w:val=""/>
      <w:lvlJc w:val="left"/>
    </w:lvl>
    <w:lvl w:ilvl="7" w:tplc="FAF661A2">
      <w:numFmt w:val="decimal"/>
      <w:lvlText w:val=""/>
      <w:lvlJc w:val="left"/>
    </w:lvl>
    <w:lvl w:ilvl="8" w:tplc="01D804EE">
      <w:numFmt w:val="decimal"/>
      <w:lvlText w:val=""/>
      <w:lvlJc w:val="left"/>
    </w:lvl>
  </w:abstractNum>
  <w:abstractNum w:abstractNumId="9" w15:restartNumberingAfterBreak="0">
    <w:nsid w:val="5BA9347B"/>
    <w:multiLevelType w:val="hybridMultilevel"/>
    <w:tmpl w:val="088070C8"/>
    <w:lvl w:ilvl="0" w:tplc="07F4598E">
      <w:numFmt w:val="bullet"/>
      <w:lvlText w:val=""/>
      <w:lvlJc w:val="left"/>
      <w:pPr>
        <w:ind w:left="720" w:hanging="360"/>
      </w:pPr>
      <w:rPr>
        <w:rFonts w:ascii="Symbol" w:hAnsi="Symbol" w:hint="default"/>
      </w:rPr>
    </w:lvl>
    <w:lvl w:ilvl="1" w:tplc="F0823D22">
      <w:numFmt w:val="decimal"/>
      <w:lvlText w:val=""/>
      <w:lvlJc w:val="left"/>
    </w:lvl>
    <w:lvl w:ilvl="2" w:tplc="8E5A8FEA">
      <w:numFmt w:val="decimal"/>
      <w:lvlText w:val=""/>
      <w:lvlJc w:val="left"/>
    </w:lvl>
    <w:lvl w:ilvl="3" w:tplc="69BA821C">
      <w:numFmt w:val="decimal"/>
      <w:lvlText w:val=""/>
      <w:lvlJc w:val="left"/>
    </w:lvl>
    <w:lvl w:ilvl="4" w:tplc="071ADDA8">
      <w:numFmt w:val="decimal"/>
      <w:lvlText w:val=""/>
      <w:lvlJc w:val="left"/>
    </w:lvl>
    <w:lvl w:ilvl="5" w:tplc="2CD2044C">
      <w:numFmt w:val="decimal"/>
      <w:lvlText w:val=""/>
      <w:lvlJc w:val="left"/>
    </w:lvl>
    <w:lvl w:ilvl="6" w:tplc="46EC40E0">
      <w:numFmt w:val="decimal"/>
      <w:lvlText w:val=""/>
      <w:lvlJc w:val="left"/>
    </w:lvl>
    <w:lvl w:ilvl="7" w:tplc="35F8CF44">
      <w:numFmt w:val="decimal"/>
      <w:lvlText w:val=""/>
      <w:lvlJc w:val="left"/>
    </w:lvl>
    <w:lvl w:ilvl="8" w:tplc="0760638A">
      <w:numFmt w:val="decimal"/>
      <w:lvlText w:val=""/>
      <w:lvlJc w:val="left"/>
    </w:lvl>
  </w:abstractNum>
  <w:abstractNum w:abstractNumId="10" w15:restartNumberingAfterBreak="0">
    <w:nsid w:val="71535896"/>
    <w:multiLevelType w:val="hybridMultilevel"/>
    <w:tmpl w:val="6F4ACF18"/>
    <w:lvl w:ilvl="0" w:tplc="507E7200">
      <w:numFmt w:val="bullet"/>
      <w:lvlText w:val=""/>
      <w:lvlJc w:val="left"/>
      <w:pPr>
        <w:ind w:left="720" w:hanging="360"/>
      </w:pPr>
      <w:rPr>
        <w:rFonts w:ascii="Symbol" w:hAnsi="Symbol" w:hint="default"/>
      </w:rPr>
    </w:lvl>
    <w:lvl w:ilvl="1" w:tplc="FA0A1EF2">
      <w:numFmt w:val="decimal"/>
      <w:lvlText w:val=""/>
      <w:lvlJc w:val="left"/>
    </w:lvl>
    <w:lvl w:ilvl="2" w:tplc="77462DD8">
      <w:numFmt w:val="decimal"/>
      <w:lvlText w:val=""/>
      <w:lvlJc w:val="left"/>
    </w:lvl>
    <w:lvl w:ilvl="3" w:tplc="0C4C2240">
      <w:numFmt w:val="decimal"/>
      <w:lvlText w:val=""/>
      <w:lvlJc w:val="left"/>
    </w:lvl>
    <w:lvl w:ilvl="4" w:tplc="4F584DEA">
      <w:numFmt w:val="decimal"/>
      <w:lvlText w:val=""/>
      <w:lvlJc w:val="left"/>
    </w:lvl>
    <w:lvl w:ilvl="5" w:tplc="90F8EC88">
      <w:numFmt w:val="decimal"/>
      <w:lvlText w:val=""/>
      <w:lvlJc w:val="left"/>
    </w:lvl>
    <w:lvl w:ilvl="6" w:tplc="9CB0B38E">
      <w:numFmt w:val="decimal"/>
      <w:lvlText w:val=""/>
      <w:lvlJc w:val="left"/>
    </w:lvl>
    <w:lvl w:ilvl="7" w:tplc="DDC8BC8A">
      <w:numFmt w:val="decimal"/>
      <w:lvlText w:val=""/>
      <w:lvlJc w:val="left"/>
    </w:lvl>
    <w:lvl w:ilvl="8" w:tplc="9EB2A602">
      <w:numFmt w:val="decimal"/>
      <w:lvlText w:val=""/>
      <w:lvlJc w:val="left"/>
    </w:lvl>
  </w:abstractNum>
  <w:abstractNum w:abstractNumId="11" w15:restartNumberingAfterBreak="0">
    <w:nsid w:val="77B06C9F"/>
    <w:multiLevelType w:val="hybridMultilevel"/>
    <w:tmpl w:val="A74C9B72"/>
    <w:lvl w:ilvl="0" w:tplc="EF6EE150">
      <w:numFmt w:val="bullet"/>
      <w:lvlText w:val=""/>
      <w:lvlJc w:val="left"/>
      <w:pPr>
        <w:ind w:left="720" w:hanging="360"/>
      </w:pPr>
      <w:rPr>
        <w:rFonts w:ascii="Symbol" w:hAnsi="Symbol" w:hint="default"/>
      </w:rPr>
    </w:lvl>
    <w:lvl w:ilvl="1" w:tplc="7BBEB7EA">
      <w:numFmt w:val="decimal"/>
      <w:lvlText w:val=""/>
      <w:lvlJc w:val="left"/>
    </w:lvl>
    <w:lvl w:ilvl="2" w:tplc="455C60C6">
      <w:numFmt w:val="decimal"/>
      <w:lvlText w:val=""/>
      <w:lvlJc w:val="left"/>
    </w:lvl>
    <w:lvl w:ilvl="3" w:tplc="0BC609B2">
      <w:numFmt w:val="decimal"/>
      <w:lvlText w:val=""/>
      <w:lvlJc w:val="left"/>
    </w:lvl>
    <w:lvl w:ilvl="4" w:tplc="59E28A2C">
      <w:numFmt w:val="decimal"/>
      <w:lvlText w:val=""/>
      <w:lvlJc w:val="left"/>
    </w:lvl>
    <w:lvl w:ilvl="5" w:tplc="3BBE54A4">
      <w:numFmt w:val="decimal"/>
      <w:lvlText w:val=""/>
      <w:lvlJc w:val="left"/>
    </w:lvl>
    <w:lvl w:ilvl="6" w:tplc="984E79A2">
      <w:numFmt w:val="decimal"/>
      <w:lvlText w:val=""/>
      <w:lvlJc w:val="left"/>
    </w:lvl>
    <w:lvl w:ilvl="7" w:tplc="A9E2B770">
      <w:numFmt w:val="decimal"/>
      <w:lvlText w:val=""/>
      <w:lvlJc w:val="left"/>
    </w:lvl>
    <w:lvl w:ilvl="8" w:tplc="E80CC57E">
      <w:numFmt w:val="decimal"/>
      <w:lvlText w:val=""/>
      <w:lvlJc w:val="left"/>
    </w:lvl>
  </w:abstractNum>
  <w:abstractNum w:abstractNumId="12" w15:restartNumberingAfterBreak="0">
    <w:nsid w:val="7B59455A"/>
    <w:multiLevelType w:val="hybridMultilevel"/>
    <w:tmpl w:val="39889692"/>
    <w:lvl w:ilvl="0" w:tplc="01B4A81C">
      <w:numFmt w:val="bullet"/>
      <w:lvlText w:val=""/>
      <w:lvlJc w:val="left"/>
      <w:pPr>
        <w:ind w:left="720" w:hanging="360"/>
      </w:pPr>
      <w:rPr>
        <w:rFonts w:ascii="Symbol" w:hAnsi="Symbol" w:hint="default"/>
      </w:rPr>
    </w:lvl>
    <w:lvl w:ilvl="1" w:tplc="D4D0CBE6">
      <w:numFmt w:val="decimal"/>
      <w:lvlText w:val=""/>
      <w:lvlJc w:val="left"/>
    </w:lvl>
    <w:lvl w:ilvl="2" w:tplc="BB36AD90">
      <w:numFmt w:val="decimal"/>
      <w:lvlText w:val=""/>
      <w:lvlJc w:val="left"/>
    </w:lvl>
    <w:lvl w:ilvl="3" w:tplc="E20A5070">
      <w:numFmt w:val="decimal"/>
      <w:lvlText w:val=""/>
      <w:lvlJc w:val="left"/>
    </w:lvl>
    <w:lvl w:ilvl="4" w:tplc="363ADF9E">
      <w:numFmt w:val="decimal"/>
      <w:lvlText w:val=""/>
      <w:lvlJc w:val="left"/>
    </w:lvl>
    <w:lvl w:ilvl="5" w:tplc="6D0AB754">
      <w:numFmt w:val="decimal"/>
      <w:lvlText w:val=""/>
      <w:lvlJc w:val="left"/>
    </w:lvl>
    <w:lvl w:ilvl="6" w:tplc="C5CCC488">
      <w:numFmt w:val="decimal"/>
      <w:lvlText w:val=""/>
      <w:lvlJc w:val="left"/>
    </w:lvl>
    <w:lvl w:ilvl="7" w:tplc="405C8B34">
      <w:numFmt w:val="decimal"/>
      <w:lvlText w:val=""/>
      <w:lvlJc w:val="left"/>
    </w:lvl>
    <w:lvl w:ilvl="8" w:tplc="BF28F5A0">
      <w:numFmt w:val="decimal"/>
      <w:lvlText w:val=""/>
      <w:lvlJc w:val="left"/>
    </w:lvl>
  </w:abstractNum>
  <w:num w:numId="1" w16cid:durableId="11421422">
    <w:abstractNumId w:val="12"/>
  </w:num>
  <w:num w:numId="2" w16cid:durableId="527526703">
    <w:abstractNumId w:val="10"/>
  </w:num>
  <w:num w:numId="3" w16cid:durableId="713388725">
    <w:abstractNumId w:val="9"/>
  </w:num>
  <w:num w:numId="4" w16cid:durableId="1071737977">
    <w:abstractNumId w:val="11"/>
  </w:num>
  <w:num w:numId="5" w16cid:durableId="1518690332">
    <w:abstractNumId w:val="5"/>
  </w:num>
  <w:num w:numId="6" w16cid:durableId="573130538">
    <w:abstractNumId w:val="0"/>
  </w:num>
  <w:num w:numId="7" w16cid:durableId="231888684">
    <w:abstractNumId w:val="2"/>
  </w:num>
  <w:num w:numId="8" w16cid:durableId="183791702">
    <w:abstractNumId w:val="1"/>
  </w:num>
  <w:num w:numId="9" w16cid:durableId="1610697048">
    <w:abstractNumId w:val="3"/>
  </w:num>
  <w:num w:numId="10" w16cid:durableId="1336499009">
    <w:abstractNumId w:val="6"/>
  </w:num>
  <w:num w:numId="11" w16cid:durableId="1862159705">
    <w:abstractNumId w:val="8"/>
  </w:num>
  <w:num w:numId="12" w16cid:durableId="1604334891">
    <w:abstractNumId w:val="7"/>
  </w:num>
  <w:num w:numId="13" w16cid:durableId="2134052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323E"/>
    <w:rsid w:val="00147E7D"/>
    <w:rsid w:val="00531112"/>
    <w:rsid w:val="00576C3F"/>
    <w:rsid w:val="00644797"/>
    <w:rsid w:val="008C323E"/>
    <w:rsid w:val="00946336"/>
    <w:rsid w:val="009463D0"/>
    <w:rsid w:val="009E3FDB"/>
    <w:rsid w:val="00B83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E835"/>
  <w15:docId w15:val="{5D06A646-6795-4116-99AF-8B7EDE42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color w:val="2F5496" w:themeColor="accent1" w:themeShade="BF"/>
    </w:rPr>
  </w:style>
  <w:style w:type="character" w:customStyle="1" w:styleId="Heading5Char">
    <w:name w:val="Heading 5 Char"/>
    <w:basedOn w:val="DefaultParagraphFont"/>
    <w:link w:val="Heading5"/>
    <w:uiPriority w:val="9"/>
    <w:rPr>
      <w:rFonts w:eastAsiaTheme="majorEastAsia" w:cstheme="majorBidi"/>
      <w:color w:val="2F5496" w:themeColor="accent1" w:themeShade="BF"/>
    </w:rPr>
  </w:style>
  <w:style w:type="character" w:customStyle="1" w:styleId="Heading6Char">
    <w:name w:val="Heading 6 Char"/>
    <w:basedOn w:val="DefaultParagraphFont"/>
    <w:link w:val="Heading6"/>
    <w:uiPriority w:val="9"/>
    <w:rPr>
      <w:rFonts w:eastAsiaTheme="majorEastAsia" w:cstheme="majorBidi"/>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2F5496"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rsid w:val="4B85B35E"/>
    <w:rPr>
      <w:color w:val="467886"/>
      <w:u w:val="single"/>
    </w:rPr>
  </w:style>
  <w:style w:type="paragraph" w:styleId="ListParagraph">
    <w:name w:val="List Paragraph"/>
    <w:basedOn w:val="Normal"/>
    <w:uiPriority w:val="34"/>
    <w:qFormat/>
    <w:rsid w:val="22B6045E"/>
    <w:pPr>
      <w:ind w:left="720"/>
      <w:contextualSpacing/>
    </w:pPr>
  </w:style>
  <w:style w:type="paragraph" w:styleId="TOC1">
    <w:name w:val="toc 1"/>
    <w:basedOn w:val="Normal"/>
    <w:next w:val="Normal"/>
    <w:uiPriority w:val="39"/>
    <w:unhideWhenUsed/>
    <w:rsid w:val="4B19D2DD"/>
    <w:pPr>
      <w:spacing w:after="100"/>
    </w:pPr>
  </w:style>
  <w:style w:type="paragraph" w:styleId="TOC2">
    <w:name w:val="toc 2"/>
    <w:basedOn w:val="Normal"/>
    <w:next w:val="Normal"/>
    <w:uiPriority w:val="39"/>
    <w:unhideWhenUsed/>
    <w:rsid w:val="4B19D2DD"/>
    <w:pPr>
      <w:spacing w:after="100"/>
      <w:ind w:left="220"/>
    </w:pPr>
  </w:style>
  <w:style w:type="paragraph" w:styleId="TOC3">
    <w:name w:val="toc 3"/>
    <w:basedOn w:val="Normal"/>
    <w:next w:val="Normal"/>
    <w:uiPriority w:val="39"/>
    <w:unhideWhenUsed/>
    <w:rsid w:val="4B19D2DD"/>
    <w:pPr>
      <w:spacing w:after="100"/>
      <w:ind w:left="440"/>
    </w:pPr>
  </w:style>
  <w:style w:type="paragraph" w:styleId="TOC4">
    <w:name w:val="toc 4"/>
    <w:basedOn w:val="Normal"/>
    <w:next w:val="Normal"/>
    <w:uiPriority w:val="39"/>
    <w:unhideWhenUsed/>
    <w:rsid w:val="4B19D2DD"/>
    <w:pPr>
      <w:spacing w:after="100"/>
      <w:ind w:left="660"/>
    </w:pPr>
  </w:style>
  <w:style w:type="paragraph" w:styleId="TOC5">
    <w:name w:val="toc 5"/>
    <w:basedOn w:val="Normal"/>
    <w:next w:val="Normal"/>
    <w:uiPriority w:val="39"/>
    <w:unhideWhenUsed/>
    <w:rsid w:val="4B19D2DD"/>
    <w:pPr>
      <w:spacing w:after="100"/>
      <w:ind w:left="880"/>
    </w:pPr>
  </w:style>
  <w:style w:type="paragraph" w:styleId="TOC6">
    <w:name w:val="toc 6"/>
    <w:basedOn w:val="Normal"/>
    <w:next w:val="Normal"/>
    <w:uiPriority w:val="39"/>
    <w:unhideWhenUsed/>
    <w:rsid w:val="4B19D2DD"/>
    <w:pPr>
      <w:spacing w:after="100"/>
      <w:ind w:left="1100"/>
    </w:pPr>
  </w:style>
  <w:style w:type="paragraph" w:styleId="EndnoteText">
    <w:name w:val="endnote text"/>
    <w:basedOn w:val="Normal"/>
    <w:uiPriority w:val="99"/>
    <w:semiHidden/>
    <w:unhideWhenUsed/>
    <w:rsid w:val="7FB19044"/>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1908</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EUROfusion</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Joao Figueiredo</cp:lastModifiedBy>
  <cp:revision>5</cp:revision>
  <dcterms:created xsi:type="dcterms:W3CDTF">2026-06-16T06:29:00Z</dcterms:created>
  <dcterms:modified xsi:type="dcterms:W3CDTF">2026-06-17T09:28:00Z</dcterms:modified>
</cp:coreProperties>
</file>